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BF" w:rsidRDefault="00EB4287">
      <w:pPr>
        <w:jc w:val="center"/>
        <w:rPr>
          <w:rFonts w:ascii="黑体" w:eastAsia="黑体" w:hAnsi="黑体"/>
          <w:sz w:val="44"/>
          <w:szCs w:val="44"/>
        </w:rPr>
      </w:pPr>
      <w:r>
        <w:rPr>
          <w:rFonts w:ascii="黑体" w:eastAsia="黑体" w:hAnsi="黑体" w:hint="eastAsia"/>
          <w:sz w:val="44"/>
          <w:szCs w:val="44"/>
        </w:rPr>
        <w:t>团体标准《种羊场重点疫病净化技术规范》（征求意见稿）编制说明</w:t>
      </w:r>
    </w:p>
    <w:p w:rsidR="00B55EBF" w:rsidRDefault="00B55EBF">
      <w:pPr>
        <w:rPr>
          <w:rFonts w:asciiTheme="minorEastAsia" w:hAnsiTheme="minorEastAsia"/>
        </w:rPr>
      </w:pPr>
    </w:p>
    <w:p w:rsidR="00B55EBF" w:rsidRDefault="00EB4287">
      <w:pPr>
        <w:adjustRightInd w:val="0"/>
        <w:snapToGrid w:val="0"/>
        <w:spacing w:line="560" w:lineRule="exact"/>
        <w:ind w:firstLineChars="200" w:firstLine="640"/>
        <w:rPr>
          <w:rFonts w:asciiTheme="minorEastAsia" w:hAnsiTheme="minorEastAsia" w:cs="Times New Roman"/>
          <w:sz w:val="28"/>
          <w:szCs w:val="28"/>
        </w:rPr>
      </w:pPr>
      <w:r>
        <w:rPr>
          <w:rFonts w:ascii="黑体" w:eastAsia="黑体" w:hAnsi="黑体" w:hint="eastAsia"/>
          <w:sz w:val="32"/>
          <w:szCs w:val="32"/>
        </w:rPr>
        <w:t>一、工作简况</w:t>
      </w:r>
    </w:p>
    <w:p w:rsidR="00B55EBF" w:rsidRDefault="00EB4287">
      <w:pPr>
        <w:adjustRightInd w:val="0"/>
        <w:snapToGrid w:val="0"/>
        <w:spacing w:line="560" w:lineRule="exact"/>
        <w:ind w:firstLineChars="100" w:firstLine="320"/>
        <w:rPr>
          <w:rFonts w:ascii="楷体_GB2312" w:eastAsia="楷体_GB2312" w:hAnsi="楷体"/>
          <w:color w:val="000000"/>
          <w:sz w:val="32"/>
          <w:szCs w:val="32"/>
        </w:rPr>
      </w:pPr>
      <w:r>
        <w:rPr>
          <w:rFonts w:ascii="楷体_GB2312" w:eastAsia="楷体_GB2312" w:hAnsi="楷体" w:hint="eastAsia"/>
          <w:color w:val="000000"/>
          <w:sz w:val="32"/>
          <w:szCs w:val="32"/>
        </w:rPr>
        <w:t>（一）任务来源</w:t>
      </w:r>
    </w:p>
    <w:p w:rsidR="00B55EBF" w:rsidRDefault="00EB4287">
      <w:pPr>
        <w:spacing w:line="360" w:lineRule="auto"/>
        <w:ind w:firstLineChars="200" w:firstLine="560"/>
        <w:rPr>
          <w:rFonts w:asciiTheme="minorEastAsia" w:hAnsiTheme="minorEastAsia" w:cs="Times New Roman"/>
          <w:sz w:val="28"/>
          <w:szCs w:val="28"/>
        </w:rPr>
      </w:pPr>
      <w:r>
        <w:rPr>
          <w:rFonts w:asciiTheme="minorEastAsia" w:hAnsiTheme="minorEastAsia" w:cs="Times New Roman" w:hint="eastAsia"/>
          <w:sz w:val="28"/>
          <w:szCs w:val="28"/>
        </w:rPr>
        <w:t>项目来源于广西标准化协会《广西标准化协会关于下达2022年</w:t>
      </w:r>
      <w:r>
        <w:rPr>
          <w:rFonts w:asciiTheme="minorEastAsia" w:hAnsiTheme="minorEastAsia" w:hint="eastAsia"/>
          <w:sz w:val="28"/>
          <w:szCs w:val="28"/>
        </w:rPr>
        <w:t>第二十四批团体标准制修订项目计划的通知》</w:t>
      </w:r>
      <w:r>
        <w:rPr>
          <w:rFonts w:asciiTheme="minorEastAsia" w:hAnsiTheme="minorEastAsia" w:cs="Times New Roman" w:hint="eastAsia"/>
          <w:sz w:val="28"/>
          <w:szCs w:val="28"/>
        </w:rPr>
        <w:t>（</w:t>
      </w:r>
      <w:proofErr w:type="gramStart"/>
      <w:r>
        <w:rPr>
          <w:rFonts w:asciiTheme="minorEastAsia" w:hAnsiTheme="minorEastAsia" w:cs="Times New Roman" w:hint="eastAsia"/>
          <w:sz w:val="28"/>
          <w:szCs w:val="28"/>
        </w:rPr>
        <w:t>桂标协〔2022〕</w:t>
      </w:r>
      <w:proofErr w:type="gramEnd"/>
      <w:r>
        <w:rPr>
          <w:rFonts w:asciiTheme="minorEastAsia" w:hAnsiTheme="minorEastAsia" w:cs="Times New Roman" w:hint="eastAsia"/>
          <w:sz w:val="28"/>
          <w:szCs w:val="28"/>
        </w:rPr>
        <w:t>68号），</w:t>
      </w:r>
      <w:r>
        <w:rPr>
          <w:rFonts w:asciiTheme="minorEastAsia" w:hAnsiTheme="minorEastAsia" w:cs="Times New Roman"/>
          <w:sz w:val="28"/>
          <w:szCs w:val="28"/>
        </w:rPr>
        <w:t>由</w:t>
      </w:r>
      <w:r>
        <w:rPr>
          <w:rFonts w:asciiTheme="minorEastAsia" w:hAnsiTheme="minorEastAsia" w:cs="Times New Roman" w:hint="eastAsia"/>
          <w:sz w:val="28"/>
          <w:szCs w:val="28"/>
        </w:rPr>
        <w:t>广西壮族自治区动物疫病预防控制中心、广西壮族自治区畜禽品种改良站和广西壮族自治区农业职业技术大学</w:t>
      </w:r>
      <w:r>
        <w:rPr>
          <w:rFonts w:asciiTheme="minorEastAsia" w:hAnsiTheme="minorEastAsia" w:cs="Times New Roman"/>
          <w:sz w:val="28"/>
          <w:szCs w:val="28"/>
        </w:rPr>
        <w:t>共同</w:t>
      </w:r>
      <w:r>
        <w:rPr>
          <w:rFonts w:asciiTheme="minorEastAsia" w:hAnsiTheme="minorEastAsia" w:cs="Times New Roman" w:hint="eastAsia"/>
          <w:sz w:val="28"/>
          <w:szCs w:val="28"/>
        </w:rPr>
        <w:t>负责编制任</w:t>
      </w:r>
      <w:r>
        <w:rPr>
          <w:rFonts w:asciiTheme="minorEastAsia" w:hAnsiTheme="minorEastAsia" w:hint="eastAsia"/>
          <w:sz w:val="28"/>
          <w:szCs w:val="28"/>
        </w:rPr>
        <w:t>务</w:t>
      </w:r>
      <w:r>
        <w:rPr>
          <w:rFonts w:asciiTheme="minorEastAsia" w:hAnsiTheme="minorEastAsia" w:cs="Times New Roman" w:hint="eastAsia"/>
          <w:sz w:val="28"/>
          <w:szCs w:val="28"/>
        </w:rPr>
        <w:t>。</w:t>
      </w:r>
    </w:p>
    <w:p w:rsidR="00B55EBF" w:rsidRDefault="00EB4287">
      <w:pPr>
        <w:adjustRightInd w:val="0"/>
        <w:snapToGrid w:val="0"/>
        <w:spacing w:line="560" w:lineRule="exact"/>
        <w:ind w:firstLineChars="100" w:firstLine="320"/>
        <w:rPr>
          <w:rFonts w:ascii="楷体_GB2312" w:eastAsia="楷体_GB2312" w:hAnsi="楷体"/>
          <w:color w:val="000000"/>
          <w:sz w:val="32"/>
          <w:szCs w:val="32"/>
        </w:rPr>
      </w:pPr>
      <w:r>
        <w:rPr>
          <w:rFonts w:ascii="楷体_GB2312" w:eastAsia="楷体_GB2312" w:hAnsi="楷体" w:hint="eastAsia"/>
          <w:color w:val="000000"/>
          <w:sz w:val="32"/>
          <w:szCs w:val="32"/>
        </w:rPr>
        <w:t>（二）目的意义</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口蹄疫、布鲁氏菌病、小反刍兽疫、羊痘是严重危害养羊业的一类动物疫病。广西有漫长的边境线，我国周边国家的动物疫病常年呈地方性流行，频繁的人员往来和走私活动给国内的种羊疫病防控带来了很大压力；同时国内种羊交易频繁，许多未经严格检疫的牲畜常进行长距离的调运，给各地的羊病防控带来巨大的潜在风险。</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广西喀斯特山区具有丰富而独特的草地资源优势，具有发展山羊产业资源得天独厚的优越条件，育成了隆林黑山羊和都安山羊等地方品种，但经多年发展，全区羊肉产量占肉类总量的比重仍然偏低。除此之外，我区的地方品种山羊总体个体较小，生产性能较低，在畜禽遗传资源保护及优质品种核心种群建设上存在明显短板。全区核心</w:t>
      </w:r>
      <w:proofErr w:type="gramStart"/>
      <w:r>
        <w:rPr>
          <w:rFonts w:asciiTheme="minorEastAsia" w:hAnsiTheme="minorEastAsia" w:hint="eastAsia"/>
          <w:sz w:val="28"/>
          <w:szCs w:val="28"/>
        </w:rPr>
        <w:t>育种场数量</w:t>
      </w:r>
      <w:proofErr w:type="gramEnd"/>
      <w:r>
        <w:rPr>
          <w:rFonts w:asciiTheme="minorEastAsia" w:hAnsiTheme="minorEastAsia" w:hint="eastAsia"/>
          <w:sz w:val="28"/>
          <w:szCs w:val="28"/>
        </w:rPr>
        <w:t>不足，农民和养殖户从国外、省</w:t>
      </w:r>
      <w:proofErr w:type="gramStart"/>
      <w:r>
        <w:rPr>
          <w:rFonts w:asciiTheme="minorEastAsia" w:hAnsiTheme="minorEastAsia" w:hint="eastAsia"/>
          <w:sz w:val="28"/>
          <w:szCs w:val="28"/>
        </w:rPr>
        <w:t>外引种</w:t>
      </w:r>
      <w:proofErr w:type="gramEnd"/>
      <w:r>
        <w:rPr>
          <w:rFonts w:asciiTheme="minorEastAsia" w:hAnsiTheme="minorEastAsia" w:hint="eastAsia"/>
          <w:sz w:val="28"/>
          <w:szCs w:val="28"/>
        </w:rPr>
        <w:t>较为普遍。伴随着引种和养殖规模的扩大，口蹄疫、小反刍兽疫、羊痘等输入性动物疫病严重威胁并阻碍着我区山羊产业的健康持续发展，给养殖业造成巨大</w:t>
      </w:r>
      <w:r>
        <w:rPr>
          <w:rFonts w:asciiTheme="minorEastAsia" w:hAnsiTheme="minorEastAsia" w:hint="eastAsia"/>
          <w:sz w:val="28"/>
          <w:szCs w:val="28"/>
        </w:rPr>
        <w:lastRenderedPageBreak/>
        <w:t>的经济损失。</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根据《国务院办公厅关于促进畜牧业高质量发展的意见》（国发办[2020]31号）和《广西壮族自治区人民政府办公厅关于加快牛羊产业高质量发展助推乡村振兴的意见》（桂政办发〔2020〕110号）精神，以全面实施乡村振兴战略为引领，以农业供给侧结构性改革为主线，聚焦畜产品稳产保供，积极调整全区畜牧业结构，大力发展牛羊产业，把牛羊产业培育成为我区农业农村经济新的增长点。今后一段时间内，牛羊产业发展将是广西农业发展的重点和发力点。</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养殖产业的发展需建立在健康的动物群体基础上。 2020年3月，自治区农业农村厅发布《广西壮族自治区无规定动物疫病养殖场创建工作方案》（</w:t>
      </w:r>
      <w:proofErr w:type="gramStart"/>
      <w:r>
        <w:rPr>
          <w:rFonts w:asciiTheme="minorEastAsia" w:hAnsiTheme="minorEastAsia" w:hint="eastAsia"/>
          <w:sz w:val="28"/>
          <w:szCs w:val="28"/>
        </w:rPr>
        <w:t>桂农厅发</w:t>
      </w:r>
      <w:proofErr w:type="gramEnd"/>
      <w:r>
        <w:rPr>
          <w:rFonts w:asciiTheme="minorEastAsia" w:hAnsiTheme="minorEastAsia" w:hint="eastAsia"/>
          <w:sz w:val="28"/>
          <w:szCs w:val="28"/>
        </w:rPr>
        <w:t>〔2020〕44号），全面推进无规定动物疫病养殖场。截止2021年12月30日，</w:t>
      </w:r>
      <w:r>
        <w:rPr>
          <w:rFonts w:asciiTheme="minorEastAsia" w:hAnsiTheme="minorEastAsia"/>
          <w:sz w:val="28"/>
          <w:szCs w:val="28"/>
        </w:rPr>
        <w:t>已有29个种猪场、15个种鸡场、1个种鸭场、5个牛场和2个羊场通过省级“星级无规定动物疫病养殖场”认证。</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相对于种猪、种禽来说，我区羊疫病防控及净化工作相对滞后，在无规定动物疫病养殖场、无</w:t>
      </w:r>
      <w:proofErr w:type="gramStart"/>
      <w:r>
        <w:rPr>
          <w:rFonts w:asciiTheme="minorEastAsia" w:hAnsiTheme="minorEastAsia" w:hint="eastAsia"/>
          <w:sz w:val="28"/>
          <w:szCs w:val="28"/>
        </w:rPr>
        <w:t>疫</w:t>
      </w:r>
      <w:proofErr w:type="gramEnd"/>
      <w:r>
        <w:rPr>
          <w:rFonts w:asciiTheme="minorEastAsia" w:hAnsiTheme="minorEastAsia" w:hint="eastAsia"/>
          <w:sz w:val="28"/>
          <w:szCs w:val="28"/>
        </w:rPr>
        <w:t>小区的建设方面仍处于起步阶段。目前，在种羊场的口蹄疫、小反刍兽疫和羊痘等重要疫病净化相关标准方面仍存在空白，急需确立相关标准来指导净化工作的开展。</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本项目以羊的重点疫病现行有效检测标准为技术基础，综合科学饲养管理、生物安全措施等方面内容，提出了种羊</w:t>
      </w:r>
      <w:proofErr w:type="gramStart"/>
      <w:r>
        <w:rPr>
          <w:rFonts w:asciiTheme="minorEastAsia" w:hAnsiTheme="minorEastAsia" w:hint="eastAsia"/>
          <w:sz w:val="28"/>
          <w:szCs w:val="28"/>
        </w:rPr>
        <w:t>场重点</w:t>
      </w:r>
      <w:proofErr w:type="gramEnd"/>
      <w:r>
        <w:rPr>
          <w:rFonts w:asciiTheme="minorEastAsia" w:hAnsiTheme="minorEastAsia" w:hint="eastAsia"/>
          <w:sz w:val="28"/>
          <w:szCs w:val="28"/>
        </w:rPr>
        <w:t>疫病净化技术规范，引导种羊场通过规范建设和科学管</w:t>
      </w:r>
      <w:proofErr w:type="gramStart"/>
      <w:r>
        <w:rPr>
          <w:rFonts w:asciiTheme="minorEastAsia" w:hAnsiTheme="minorEastAsia" w:hint="eastAsia"/>
          <w:sz w:val="28"/>
          <w:szCs w:val="28"/>
        </w:rPr>
        <w:t>控达到</w:t>
      </w:r>
      <w:proofErr w:type="gramEnd"/>
      <w:r>
        <w:rPr>
          <w:rFonts w:asciiTheme="minorEastAsia" w:hAnsiTheme="minorEastAsia" w:hint="eastAsia"/>
          <w:sz w:val="28"/>
          <w:szCs w:val="28"/>
        </w:rPr>
        <w:t>疫病净化的目的，为种羊产业健康发展提供技术支撑。</w:t>
      </w:r>
    </w:p>
    <w:p w:rsidR="00B55EBF" w:rsidRDefault="00EB4287">
      <w:pPr>
        <w:adjustRightInd w:val="0"/>
        <w:snapToGrid w:val="0"/>
        <w:spacing w:line="560" w:lineRule="exact"/>
        <w:ind w:firstLineChars="200" w:firstLine="640"/>
        <w:rPr>
          <w:rFonts w:asciiTheme="minorEastAsia" w:hAnsiTheme="minorEastAsia"/>
          <w:sz w:val="28"/>
          <w:szCs w:val="28"/>
        </w:rPr>
      </w:pPr>
      <w:r>
        <w:rPr>
          <w:rFonts w:ascii="黑体" w:eastAsia="黑体" w:hAnsi="黑体" w:hint="eastAsia"/>
          <w:sz w:val="32"/>
          <w:szCs w:val="32"/>
        </w:rPr>
        <w:lastRenderedPageBreak/>
        <w:t>二、编制简况</w:t>
      </w:r>
    </w:p>
    <w:p w:rsidR="00B55EBF" w:rsidRDefault="00EB4287">
      <w:pPr>
        <w:adjustRightInd w:val="0"/>
        <w:snapToGrid w:val="0"/>
        <w:spacing w:line="560" w:lineRule="exact"/>
        <w:ind w:firstLineChars="100" w:firstLine="320"/>
        <w:rPr>
          <w:rFonts w:asciiTheme="minorEastAsia" w:hAnsiTheme="minorEastAsia"/>
          <w:sz w:val="28"/>
          <w:szCs w:val="28"/>
        </w:rPr>
      </w:pPr>
      <w:r>
        <w:rPr>
          <w:rFonts w:ascii="楷体_GB2312" w:eastAsia="楷体_GB2312" w:hAnsi="楷体" w:hint="eastAsia"/>
          <w:color w:val="000000"/>
          <w:sz w:val="32"/>
          <w:szCs w:val="32"/>
        </w:rPr>
        <w:t>（一）成立编制工作小组</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团体标准《种羊场重点疫病净化技术规范》项目任务下达后，主要起草单位制定了编制工作方案，由广西壮族自治区动物疫病预防控制中心、</w:t>
      </w:r>
      <w:r>
        <w:rPr>
          <w:rFonts w:asciiTheme="minorEastAsia" w:hAnsiTheme="minorEastAsia" w:cs="Times New Roman" w:hint="eastAsia"/>
          <w:sz w:val="28"/>
          <w:szCs w:val="28"/>
        </w:rPr>
        <w:t>广西壮族自治区畜禽品种改良站和广西壮族自治区农业职业技术大学</w:t>
      </w:r>
      <w:r>
        <w:rPr>
          <w:rFonts w:asciiTheme="minorEastAsia" w:hAnsiTheme="minorEastAsia" w:hint="eastAsia"/>
          <w:sz w:val="28"/>
          <w:szCs w:val="28"/>
        </w:rPr>
        <w:t>等单位的专家和技术专业人员参加，成立了编制小组，并就编写工作进行了分工。</w:t>
      </w:r>
    </w:p>
    <w:p w:rsidR="00B55EBF" w:rsidRDefault="00EB4287">
      <w:pPr>
        <w:adjustRightInd w:val="0"/>
        <w:snapToGrid w:val="0"/>
        <w:spacing w:line="560" w:lineRule="exact"/>
        <w:ind w:firstLineChars="100" w:firstLine="320"/>
        <w:rPr>
          <w:rFonts w:ascii="楷体_GB2312" w:eastAsia="楷体_GB2312" w:hAnsi="楷体"/>
          <w:color w:val="000000"/>
          <w:sz w:val="32"/>
          <w:szCs w:val="32"/>
        </w:rPr>
      </w:pPr>
      <w:r>
        <w:rPr>
          <w:rFonts w:ascii="楷体_GB2312" w:eastAsia="楷体_GB2312" w:hAnsi="楷体" w:hint="eastAsia"/>
          <w:color w:val="000000"/>
          <w:sz w:val="32"/>
          <w:szCs w:val="32"/>
        </w:rPr>
        <w:t>（二）标准主要起草人</w:t>
      </w:r>
    </w:p>
    <w:tbl>
      <w:tblPr>
        <w:tblW w:w="8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73"/>
        <w:gridCol w:w="1614"/>
        <w:gridCol w:w="2115"/>
        <w:gridCol w:w="3075"/>
      </w:tblGrid>
      <w:tr w:rsidR="00B55EBF">
        <w:trPr>
          <w:trHeight w:val="760"/>
          <w:jc w:val="center"/>
        </w:trPr>
        <w:tc>
          <w:tcPr>
            <w:tcW w:w="1373" w:type="dxa"/>
            <w:tcBorders>
              <w:top w:val="single" w:sz="4" w:space="0" w:color="auto"/>
              <w:left w:val="single" w:sz="4" w:space="0" w:color="auto"/>
              <w:bottom w:val="single" w:sz="4" w:space="0" w:color="auto"/>
              <w:right w:val="single" w:sz="4" w:space="0" w:color="auto"/>
            </w:tcBorders>
            <w:vAlign w:val="center"/>
          </w:tcPr>
          <w:p w:rsidR="00B55EBF" w:rsidRDefault="00EB4287">
            <w:pPr>
              <w:spacing w:line="560" w:lineRule="exact"/>
              <w:jc w:val="center"/>
              <w:rPr>
                <w:rFonts w:eastAsia="仿宋"/>
                <w:b/>
                <w:bCs/>
                <w:color w:val="000000"/>
                <w:sz w:val="30"/>
                <w:szCs w:val="30"/>
              </w:rPr>
            </w:pPr>
            <w:r>
              <w:rPr>
                <w:rFonts w:eastAsia="仿宋"/>
                <w:b/>
                <w:bCs/>
                <w:color w:val="000000"/>
                <w:sz w:val="30"/>
                <w:szCs w:val="30"/>
              </w:rPr>
              <w:t>姓名</w:t>
            </w:r>
          </w:p>
        </w:tc>
        <w:tc>
          <w:tcPr>
            <w:tcW w:w="1614" w:type="dxa"/>
            <w:tcBorders>
              <w:top w:val="single" w:sz="4" w:space="0" w:color="auto"/>
              <w:left w:val="nil"/>
              <w:bottom w:val="single" w:sz="4" w:space="0" w:color="auto"/>
              <w:right w:val="single" w:sz="4" w:space="0" w:color="auto"/>
            </w:tcBorders>
            <w:vAlign w:val="center"/>
          </w:tcPr>
          <w:p w:rsidR="00B55EBF" w:rsidRDefault="00EB4287">
            <w:pPr>
              <w:spacing w:line="560" w:lineRule="exact"/>
              <w:jc w:val="center"/>
              <w:rPr>
                <w:rFonts w:eastAsia="仿宋"/>
                <w:b/>
                <w:bCs/>
                <w:color w:val="000000"/>
                <w:sz w:val="30"/>
                <w:szCs w:val="30"/>
              </w:rPr>
            </w:pPr>
            <w:r>
              <w:rPr>
                <w:rFonts w:eastAsia="仿宋" w:hint="eastAsia"/>
                <w:b/>
                <w:bCs/>
                <w:color w:val="000000"/>
                <w:sz w:val="30"/>
                <w:szCs w:val="30"/>
              </w:rPr>
              <w:t>职务</w:t>
            </w:r>
            <w:r>
              <w:rPr>
                <w:rFonts w:eastAsia="仿宋" w:hint="eastAsia"/>
                <w:b/>
                <w:bCs/>
                <w:color w:val="000000"/>
                <w:sz w:val="30"/>
                <w:szCs w:val="30"/>
              </w:rPr>
              <w:t>/</w:t>
            </w:r>
            <w:r>
              <w:rPr>
                <w:rFonts w:eastAsia="仿宋" w:hint="eastAsia"/>
                <w:b/>
                <w:bCs/>
                <w:color w:val="000000"/>
                <w:sz w:val="30"/>
                <w:szCs w:val="30"/>
              </w:rPr>
              <w:t>职称</w:t>
            </w:r>
          </w:p>
        </w:tc>
        <w:tc>
          <w:tcPr>
            <w:tcW w:w="2115" w:type="dxa"/>
            <w:tcBorders>
              <w:top w:val="single" w:sz="4" w:space="0" w:color="auto"/>
              <w:left w:val="nil"/>
              <w:bottom w:val="single" w:sz="4" w:space="0" w:color="auto"/>
              <w:right w:val="single" w:sz="4" w:space="0" w:color="auto"/>
            </w:tcBorders>
            <w:vAlign w:val="center"/>
          </w:tcPr>
          <w:p w:rsidR="00B55EBF" w:rsidRDefault="00EB4287">
            <w:pPr>
              <w:spacing w:line="560" w:lineRule="exact"/>
              <w:jc w:val="center"/>
              <w:rPr>
                <w:rFonts w:eastAsia="仿宋"/>
                <w:b/>
                <w:bCs/>
                <w:color w:val="000000"/>
                <w:sz w:val="30"/>
                <w:szCs w:val="30"/>
              </w:rPr>
            </w:pPr>
            <w:r>
              <w:rPr>
                <w:rFonts w:eastAsia="仿宋" w:hint="eastAsia"/>
                <w:b/>
                <w:bCs/>
                <w:color w:val="000000"/>
                <w:sz w:val="30"/>
                <w:szCs w:val="30"/>
              </w:rPr>
              <w:t>工作单位</w:t>
            </w:r>
          </w:p>
        </w:tc>
        <w:tc>
          <w:tcPr>
            <w:tcW w:w="3075" w:type="dxa"/>
            <w:tcBorders>
              <w:top w:val="single" w:sz="4" w:space="0" w:color="auto"/>
              <w:left w:val="nil"/>
              <w:bottom w:val="single" w:sz="4" w:space="0" w:color="auto"/>
              <w:right w:val="single" w:sz="4" w:space="0" w:color="auto"/>
            </w:tcBorders>
            <w:vAlign w:val="center"/>
          </w:tcPr>
          <w:p w:rsidR="00B55EBF" w:rsidRDefault="00EB4287">
            <w:pPr>
              <w:spacing w:line="560" w:lineRule="exact"/>
              <w:jc w:val="center"/>
              <w:rPr>
                <w:rFonts w:eastAsia="仿宋"/>
                <w:b/>
                <w:bCs/>
                <w:color w:val="000000"/>
                <w:sz w:val="30"/>
                <w:szCs w:val="30"/>
              </w:rPr>
            </w:pPr>
            <w:r>
              <w:rPr>
                <w:rFonts w:eastAsia="仿宋" w:hint="eastAsia"/>
                <w:b/>
                <w:bCs/>
                <w:color w:val="000000"/>
                <w:sz w:val="30"/>
                <w:szCs w:val="30"/>
              </w:rPr>
              <w:t>任务分工</w:t>
            </w:r>
          </w:p>
        </w:tc>
      </w:tr>
      <w:tr w:rsidR="00B55EBF">
        <w:trPr>
          <w:trHeight w:val="518"/>
          <w:jc w:val="center"/>
        </w:trPr>
        <w:tc>
          <w:tcPr>
            <w:tcW w:w="1373" w:type="dxa"/>
            <w:tcBorders>
              <w:top w:val="single" w:sz="4" w:space="0" w:color="auto"/>
              <w:left w:val="single" w:sz="4" w:space="0" w:color="auto"/>
              <w:bottom w:val="single" w:sz="4" w:space="0" w:color="auto"/>
              <w:right w:val="single" w:sz="4" w:space="0" w:color="auto"/>
            </w:tcBorders>
            <w:vAlign w:val="center"/>
          </w:tcPr>
          <w:p w:rsidR="00B55EBF" w:rsidRDefault="000B02F6">
            <w:pPr>
              <w:jc w:val="center"/>
              <w:rPr>
                <w:rFonts w:asciiTheme="minorEastAsia" w:hAnsiTheme="minorEastAsia" w:cs="仿宋_GB2312"/>
                <w:szCs w:val="21"/>
              </w:rPr>
            </w:pPr>
            <w:hyperlink r:id="rId6" w:history="1">
              <w:proofErr w:type="gramStart"/>
              <w:r w:rsidR="00EB4287">
                <w:rPr>
                  <w:rFonts w:asciiTheme="minorEastAsia" w:hAnsiTheme="minorEastAsia" w:cs="仿宋_GB2312" w:hint="eastAsia"/>
                  <w:szCs w:val="21"/>
                </w:rPr>
                <w:t>韦正吉</w:t>
              </w:r>
              <w:proofErr w:type="gramEnd"/>
            </w:hyperlink>
          </w:p>
        </w:tc>
        <w:tc>
          <w:tcPr>
            <w:tcW w:w="1614" w:type="dxa"/>
            <w:tcBorders>
              <w:top w:val="single" w:sz="4" w:space="0" w:color="auto"/>
              <w:left w:val="nil"/>
              <w:bottom w:val="single" w:sz="4" w:space="0" w:color="auto"/>
              <w:right w:val="single" w:sz="4" w:space="0" w:color="auto"/>
            </w:tcBorders>
            <w:vAlign w:val="center"/>
          </w:tcPr>
          <w:p w:rsidR="00B55EBF" w:rsidRDefault="00EB4287">
            <w:pPr>
              <w:jc w:val="center"/>
              <w:rPr>
                <w:rFonts w:asciiTheme="minorEastAsia" w:hAnsiTheme="minorEastAsia" w:cs="仿宋_GB2312"/>
                <w:szCs w:val="21"/>
              </w:rPr>
            </w:pPr>
            <w:r>
              <w:rPr>
                <w:rFonts w:asciiTheme="minorEastAsia" w:hAnsiTheme="minorEastAsia" w:cs="仿宋_GB2312" w:hint="eastAsia"/>
                <w:szCs w:val="21"/>
              </w:rPr>
              <w:t>高级兽医师</w:t>
            </w:r>
          </w:p>
        </w:tc>
        <w:tc>
          <w:tcPr>
            <w:tcW w:w="2115" w:type="dxa"/>
            <w:tcBorders>
              <w:top w:val="single" w:sz="4" w:space="0" w:color="auto"/>
              <w:left w:val="nil"/>
              <w:bottom w:val="single" w:sz="4" w:space="0" w:color="auto"/>
              <w:right w:val="single" w:sz="4" w:space="0" w:color="auto"/>
            </w:tcBorders>
            <w:vAlign w:val="center"/>
          </w:tcPr>
          <w:p w:rsidR="00B55EBF" w:rsidRDefault="00EB4287">
            <w:pPr>
              <w:jc w:val="center"/>
              <w:rPr>
                <w:rFonts w:asciiTheme="minorEastAsia" w:hAnsiTheme="minorEastAsia" w:cs="仿宋_GB2312"/>
                <w:szCs w:val="21"/>
              </w:rPr>
            </w:pPr>
            <w:r>
              <w:rPr>
                <w:rFonts w:asciiTheme="minorEastAsia" w:hAnsiTheme="minorEastAsia" w:cs="仿宋_GB2312" w:hint="eastAsia"/>
                <w:szCs w:val="21"/>
              </w:rPr>
              <w:t>广西壮族自治区动物疫病预防控制中心</w:t>
            </w:r>
          </w:p>
        </w:tc>
        <w:tc>
          <w:tcPr>
            <w:tcW w:w="3075" w:type="dxa"/>
            <w:tcBorders>
              <w:top w:val="single" w:sz="4" w:space="0" w:color="auto"/>
              <w:left w:val="nil"/>
              <w:bottom w:val="single" w:sz="4" w:space="0" w:color="auto"/>
              <w:right w:val="single" w:sz="4" w:space="0" w:color="auto"/>
            </w:tcBorders>
            <w:vAlign w:val="center"/>
          </w:tcPr>
          <w:p w:rsidR="00B55EBF" w:rsidRDefault="00EB4287">
            <w:pPr>
              <w:jc w:val="center"/>
              <w:rPr>
                <w:rFonts w:asciiTheme="minorEastAsia" w:hAnsiTheme="minorEastAsia" w:cs="仿宋_GB2312"/>
                <w:szCs w:val="21"/>
              </w:rPr>
            </w:pPr>
            <w:r>
              <w:rPr>
                <w:rFonts w:asciiTheme="minorEastAsia" w:hAnsiTheme="minorEastAsia" w:cs="仿宋_GB2312" w:hint="eastAsia"/>
                <w:szCs w:val="21"/>
              </w:rPr>
              <w:t>负责标准框架的设计、组织安排、整体协调、最终审核等</w:t>
            </w:r>
          </w:p>
        </w:tc>
      </w:tr>
      <w:tr w:rsidR="00B55EBF">
        <w:trPr>
          <w:trHeight w:val="370"/>
          <w:jc w:val="center"/>
        </w:trPr>
        <w:tc>
          <w:tcPr>
            <w:tcW w:w="1373" w:type="dxa"/>
            <w:tcBorders>
              <w:top w:val="single" w:sz="4" w:space="0" w:color="auto"/>
              <w:left w:val="single" w:sz="4" w:space="0" w:color="auto"/>
              <w:bottom w:val="single" w:sz="4" w:space="0" w:color="auto"/>
              <w:right w:val="single" w:sz="4" w:space="0" w:color="auto"/>
            </w:tcBorders>
            <w:vAlign w:val="center"/>
          </w:tcPr>
          <w:p w:rsidR="00B55EBF" w:rsidRDefault="000B02F6">
            <w:pPr>
              <w:jc w:val="center"/>
              <w:rPr>
                <w:rFonts w:asciiTheme="minorEastAsia" w:hAnsiTheme="minorEastAsia" w:cs="仿宋_GB2312"/>
                <w:szCs w:val="21"/>
              </w:rPr>
            </w:pPr>
            <w:hyperlink r:id="rId7" w:history="1">
              <w:r w:rsidR="00EB4287">
                <w:rPr>
                  <w:rFonts w:asciiTheme="minorEastAsia" w:hAnsiTheme="minorEastAsia" w:cs="仿宋_GB2312"/>
                  <w:szCs w:val="21"/>
                </w:rPr>
                <w:t>郑</w:t>
              </w:r>
              <w:r w:rsidR="00EB4287">
                <w:rPr>
                  <w:rFonts w:asciiTheme="minorEastAsia" w:hAnsiTheme="minorEastAsia" w:cs="仿宋_GB2312" w:hint="eastAsia"/>
                  <w:szCs w:val="21"/>
                </w:rPr>
                <w:t xml:space="preserve">  </w:t>
              </w:r>
              <w:r w:rsidR="00EB4287">
                <w:rPr>
                  <w:rFonts w:asciiTheme="minorEastAsia" w:hAnsiTheme="minorEastAsia" w:cs="仿宋_GB2312"/>
                  <w:szCs w:val="21"/>
                </w:rPr>
                <w:t>敏</w:t>
              </w:r>
            </w:hyperlink>
          </w:p>
        </w:tc>
        <w:tc>
          <w:tcPr>
            <w:tcW w:w="1614" w:type="dxa"/>
            <w:tcBorders>
              <w:top w:val="single" w:sz="4" w:space="0" w:color="auto"/>
              <w:left w:val="nil"/>
              <w:bottom w:val="single" w:sz="4" w:space="0" w:color="auto"/>
              <w:right w:val="single" w:sz="4" w:space="0" w:color="auto"/>
            </w:tcBorders>
            <w:vAlign w:val="center"/>
          </w:tcPr>
          <w:p w:rsidR="00B55EBF" w:rsidRDefault="00EB4287">
            <w:pPr>
              <w:jc w:val="center"/>
              <w:rPr>
                <w:rFonts w:asciiTheme="minorEastAsia" w:hAnsiTheme="minorEastAsia" w:cs="仿宋_GB2312"/>
                <w:szCs w:val="21"/>
              </w:rPr>
            </w:pPr>
            <w:r>
              <w:rPr>
                <w:rFonts w:asciiTheme="minorEastAsia" w:hAnsiTheme="minorEastAsia" w:cs="仿宋_GB2312" w:hint="eastAsia"/>
                <w:szCs w:val="21"/>
              </w:rPr>
              <w:t>研究员</w:t>
            </w:r>
          </w:p>
        </w:tc>
        <w:tc>
          <w:tcPr>
            <w:tcW w:w="2115" w:type="dxa"/>
            <w:tcBorders>
              <w:top w:val="single" w:sz="4" w:space="0" w:color="auto"/>
              <w:left w:val="nil"/>
              <w:bottom w:val="single" w:sz="4" w:space="0" w:color="auto"/>
              <w:right w:val="single" w:sz="4" w:space="0" w:color="auto"/>
            </w:tcBorders>
            <w:vAlign w:val="center"/>
          </w:tcPr>
          <w:p w:rsidR="00B55EBF" w:rsidRDefault="00EB4287">
            <w:pPr>
              <w:jc w:val="center"/>
              <w:rPr>
                <w:rFonts w:asciiTheme="minorEastAsia" w:hAnsiTheme="minorEastAsia" w:cs="仿宋_GB2312"/>
                <w:szCs w:val="21"/>
              </w:rPr>
            </w:pPr>
            <w:r>
              <w:rPr>
                <w:rFonts w:asciiTheme="minorEastAsia" w:hAnsiTheme="minorEastAsia" w:cs="仿宋_GB2312" w:hint="eastAsia"/>
                <w:szCs w:val="21"/>
              </w:rPr>
              <w:t>广西壮族自治区动物疫病预防控制中心</w:t>
            </w:r>
          </w:p>
        </w:tc>
        <w:tc>
          <w:tcPr>
            <w:tcW w:w="3075" w:type="dxa"/>
            <w:tcBorders>
              <w:top w:val="single" w:sz="4" w:space="0" w:color="auto"/>
              <w:left w:val="nil"/>
              <w:bottom w:val="single" w:sz="4" w:space="0" w:color="auto"/>
              <w:right w:val="single" w:sz="4" w:space="0" w:color="auto"/>
            </w:tcBorders>
            <w:vAlign w:val="center"/>
          </w:tcPr>
          <w:p w:rsidR="00B55EBF" w:rsidRDefault="00EB4287">
            <w:pPr>
              <w:jc w:val="center"/>
              <w:rPr>
                <w:rFonts w:asciiTheme="minorEastAsia" w:hAnsiTheme="minorEastAsia" w:cs="仿宋_GB2312"/>
                <w:szCs w:val="21"/>
              </w:rPr>
            </w:pPr>
            <w:r>
              <w:rPr>
                <w:rFonts w:asciiTheme="minorEastAsia" w:hAnsiTheme="minorEastAsia" w:cs="仿宋_GB2312" w:hint="eastAsia"/>
                <w:szCs w:val="21"/>
              </w:rPr>
              <w:t>主要技术内容的确定、修改、编制等</w:t>
            </w:r>
          </w:p>
        </w:tc>
      </w:tr>
      <w:tr w:rsidR="00B55EBF">
        <w:trPr>
          <w:trHeight w:val="364"/>
          <w:jc w:val="center"/>
        </w:trPr>
        <w:tc>
          <w:tcPr>
            <w:tcW w:w="1373" w:type="dxa"/>
            <w:tcBorders>
              <w:top w:val="single" w:sz="4" w:space="0" w:color="auto"/>
              <w:left w:val="single" w:sz="4" w:space="0" w:color="auto"/>
              <w:bottom w:val="single" w:sz="4" w:space="0" w:color="auto"/>
              <w:right w:val="single" w:sz="4" w:space="0" w:color="auto"/>
            </w:tcBorders>
            <w:vAlign w:val="center"/>
          </w:tcPr>
          <w:p w:rsidR="00B55EBF" w:rsidRDefault="00EB4287">
            <w:pPr>
              <w:jc w:val="center"/>
              <w:rPr>
                <w:rFonts w:asciiTheme="minorEastAsia" w:hAnsiTheme="minorEastAsia" w:cs="仿宋_GB2312"/>
                <w:szCs w:val="21"/>
              </w:rPr>
            </w:pPr>
            <w:r>
              <w:rPr>
                <w:rFonts w:asciiTheme="minorEastAsia" w:hAnsiTheme="minorEastAsia" w:cs="仿宋_GB2312" w:hint="eastAsia"/>
                <w:szCs w:val="21"/>
              </w:rPr>
              <w:t>李美珍</w:t>
            </w:r>
          </w:p>
        </w:tc>
        <w:tc>
          <w:tcPr>
            <w:tcW w:w="1614" w:type="dxa"/>
            <w:tcBorders>
              <w:top w:val="single" w:sz="4" w:space="0" w:color="auto"/>
              <w:left w:val="nil"/>
              <w:bottom w:val="single" w:sz="4" w:space="0" w:color="auto"/>
              <w:right w:val="single" w:sz="4" w:space="0" w:color="auto"/>
            </w:tcBorders>
            <w:vAlign w:val="center"/>
          </w:tcPr>
          <w:p w:rsidR="00B55EBF" w:rsidRDefault="00EB4287">
            <w:pPr>
              <w:jc w:val="center"/>
              <w:rPr>
                <w:rFonts w:asciiTheme="minorEastAsia" w:hAnsiTheme="minorEastAsia" w:cs="仿宋_GB2312"/>
                <w:szCs w:val="21"/>
              </w:rPr>
            </w:pPr>
            <w:r>
              <w:rPr>
                <w:rFonts w:asciiTheme="minorEastAsia" w:hAnsiTheme="minorEastAsia" w:cs="仿宋_GB2312" w:hint="eastAsia"/>
                <w:szCs w:val="21"/>
              </w:rPr>
              <w:t>高级兽医师</w:t>
            </w:r>
          </w:p>
        </w:tc>
        <w:tc>
          <w:tcPr>
            <w:tcW w:w="2115" w:type="dxa"/>
            <w:tcBorders>
              <w:top w:val="single" w:sz="4" w:space="0" w:color="auto"/>
              <w:left w:val="nil"/>
              <w:bottom w:val="single" w:sz="4" w:space="0" w:color="auto"/>
              <w:right w:val="single" w:sz="4" w:space="0" w:color="auto"/>
            </w:tcBorders>
            <w:vAlign w:val="center"/>
          </w:tcPr>
          <w:p w:rsidR="00B55EBF" w:rsidRDefault="00EB4287">
            <w:pPr>
              <w:jc w:val="center"/>
              <w:rPr>
                <w:rFonts w:asciiTheme="minorEastAsia" w:hAnsiTheme="minorEastAsia" w:cs="仿宋_GB2312"/>
                <w:szCs w:val="21"/>
              </w:rPr>
            </w:pPr>
            <w:r>
              <w:rPr>
                <w:rFonts w:asciiTheme="minorEastAsia" w:hAnsiTheme="minorEastAsia" w:cs="仿宋_GB2312" w:hint="eastAsia"/>
                <w:szCs w:val="21"/>
              </w:rPr>
              <w:t>广西壮族自治区</w:t>
            </w:r>
            <w:r>
              <w:rPr>
                <w:rFonts w:hint="eastAsia"/>
              </w:rPr>
              <w:t>畜禽品种改良站</w:t>
            </w:r>
          </w:p>
        </w:tc>
        <w:tc>
          <w:tcPr>
            <w:tcW w:w="3075" w:type="dxa"/>
            <w:tcBorders>
              <w:top w:val="single" w:sz="4" w:space="0" w:color="auto"/>
              <w:left w:val="nil"/>
              <w:bottom w:val="single" w:sz="4" w:space="0" w:color="auto"/>
              <w:right w:val="single" w:sz="4" w:space="0" w:color="auto"/>
            </w:tcBorders>
            <w:vAlign w:val="center"/>
          </w:tcPr>
          <w:p w:rsidR="00B55EBF" w:rsidRDefault="00EB4287">
            <w:pPr>
              <w:jc w:val="center"/>
              <w:rPr>
                <w:rFonts w:asciiTheme="minorEastAsia" w:hAnsiTheme="minorEastAsia" w:cs="仿宋_GB2312"/>
                <w:szCs w:val="21"/>
              </w:rPr>
            </w:pPr>
            <w:r>
              <w:rPr>
                <w:rFonts w:asciiTheme="minorEastAsia" w:hAnsiTheme="minorEastAsia" w:cs="仿宋_GB2312" w:hint="eastAsia"/>
                <w:szCs w:val="21"/>
              </w:rPr>
              <w:t>主要技术内容的确定、修改、编制等</w:t>
            </w:r>
          </w:p>
        </w:tc>
      </w:tr>
      <w:tr w:rsidR="00B55EBF">
        <w:trPr>
          <w:trHeight w:val="500"/>
          <w:jc w:val="center"/>
        </w:trPr>
        <w:tc>
          <w:tcPr>
            <w:tcW w:w="1373" w:type="dxa"/>
            <w:tcBorders>
              <w:top w:val="single" w:sz="4" w:space="0" w:color="auto"/>
              <w:left w:val="single" w:sz="4" w:space="0" w:color="auto"/>
              <w:bottom w:val="single" w:sz="4" w:space="0" w:color="auto"/>
              <w:right w:val="single" w:sz="4" w:space="0" w:color="auto"/>
            </w:tcBorders>
            <w:vAlign w:val="center"/>
          </w:tcPr>
          <w:p w:rsidR="00B55EBF" w:rsidRDefault="00EB4287">
            <w:pPr>
              <w:jc w:val="center"/>
              <w:rPr>
                <w:rFonts w:asciiTheme="minorEastAsia" w:hAnsiTheme="minorEastAsia" w:cs="仿宋_GB2312"/>
                <w:szCs w:val="21"/>
              </w:rPr>
            </w:pPr>
            <w:r>
              <w:rPr>
                <w:rFonts w:asciiTheme="minorEastAsia" w:hAnsiTheme="minorEastAsia" w:cs="仿宋_GB2312" w:hint="eastAsia"/>
                <w:szCs w:val="21"/>
              </w:rPr>
              <w:t>邹联斌</w:t>
            </w:r>
          </w:p>
        </w:tc>
        <w:tc>
          <w:tcPr>
            <w:tcW w:w="1614" w:type="dxa"/>
            <w:tcBorders>
              <w:top w:val="single" w:sz="4" w:space="0" w:color="auto"/>
              <w:left w:val="nil"/>
              <w:bottom w:val="single" w:sz="4" w:space="0" w:color="auto"/>
              <w:right w:val="single" w:sz="4" w:space="0" w:color="auto"/>
            </w:tcBorders>
            <w:vAlign w:val="center"/>
          </w:tcPr>
          <w:p w:rsidR="00B55EBF" w:rsidRDefault="00EB4287">
            <w:pPr>
              <w:jc w:val="center"/>
              <w:rPr>
                <w:rFonts w:asciiTheme="minorEastAsia" w:hAnsiTheme="minorEastAsia" w:cs="仿宋_GB2312"/>
                <w:szCs w:val="21"/>
              </w:rPr>
            </w:pPr>
            <w:r>
              <w:rPr>
                <w:rFonts w:asciiTheme="minorEastAsia" w:hAnsiTheme="minorEastAsia" w:cs="仿宋_GB2312" w:hint="eastAsia"/>
                <w:szCs w:val="21"/>
              </w:rPr>
              <w:t>正高级兽医师</w:t>
            </w:r>
          </w:p>
        </w:tc>
        <w:tc>
          <w:tcPr>
            <w:tcW w:w="2115" w:type="dxa"/>
            <w:tcBorders>
              <w:top w:val="single" w:sz="4" w:space="0" w:color="auto"/>
              <w:left w:val="nil"/>
              <w:bottom w:val="single" w:sz="4" w:space="0" w:color="auto"/>
              <w:right w:val="single" w:sz="4" w:space="0" w:color="auto"/>
            </w:tcBorders>
            <w:vAlign w:val="center"/>
          </w:tcPr>
          <w:p w:rsidR="00B55EBF" w:rsidRDefault="00EB4287">
            <w:pPr>
              <w:jc w:val="center"/>
              <w:rPr>
                <w:rFonts w:asciiTheme="minorEastAsia" w:hAnsiTheme="minorEastAsia" w:cs="仿宋_GB2312"/>
                <w:szCs w:val="21"/>
              </w:rPr>
            </w:pPr>
            <w:r>
              <w:rPr>
                <w:rFonts w:asciiTheme="minorEastAsia" w:hAnsiTheme="minorEastAsia" w:cs="仿宋_GB2312" w:hint="eastAsia"/>
                <w:szCs w:val="21"/>
              </w:rPr>
              <w:t>广西壮族自治区动物疫病预防控制中心</w:t>
            </w:r>
          </w:p>
        </w:tc>
        <w:tc>
          <w:tcPr>
            <w:tcW w:w="3075" w:type="dxa"/>
            <w:tcBorders>
              <w:top w:val="single" w:sz="4" w:space="0" w:color="auto"/>
              <w:left w:val="nil"/>
              <w:bottom w:val="single" w:sz="4" w:space="0" w:color="auto"/>
              <w:right w:val="single" w:sz="4" w:space="0" w:color="auto"/>
            </w:tcBorders>
            <w:vAlign w:val="center"/>
          </w:tcPr>
          <w:p w:rsidR="00B55EBF" w:rsidRDefault="00EB4287">
            <w:pPr>
              <w:jc w:val="center"/>
              <w:rPr>
                <w:rFonts w:asciiTheme="minorEastAsia" w:hAnsiTheme="minorEastAsia" w:cs="仿宋_GB2312"/>
                <w:szCs w:val="21"/>
              </w:rPr>
            </w:pPr>
            <w:r>
              <w:rPr>
                <w:rFonts w:asciiTheme="minorEastAsia" w:hAnsiTheme="minorEastAsia" w:cs="仿宋_GB2312" w:hint="eastAsia"/>
                <w:szCs w:val="21"/>
              </w:rPr>
              <w:t>主要技术内容的确定、修改、编制等</w:t>
            </w:r>
          </w:p>
        </w:tc>
      </w:tr>
      <w:tr w:rsidR="00B55EBF">
        <w:trPr>
          <w:trHeight w:val="360"/>
          <w:jc w:val="center"/>
        </w:trPr>
        <w:tc>
          <w:tcPr>
            <w:tcW w:w="1373" w:type="dxa"/>
            <w:tcBorders>
              <w:top w:val="single" w:sz="4" w:space="0" w:color="auto"/>
              <w:left w:val="single" w:sz="4" w:space="0" w:color="auto"/>
              <w:bottom w:val="single" w:sz="4" w:space="0" w:color="auto"/>
              <w:right w:val="single" w:sz="4" w:space="0" w:color="auto"/>
            </w:tcBorders>
            <w:vAlign w:val="center"/>
          </w:tcPr>
          <w:p w:rsidR="00B55EBF" w:rsidRDefault="000B02F6">
            <w:pPr>
              <w:jc w:val="center"/>
              <w:rPr>
                <w:rFonts w:asciiTheme="minorEastAsia" w:hAnsiTheme="minorEastAsia" w:cs="仿宋_GB2312"/>
                <w:szCs w:val="21"/>
              </w:rPr>
            </w:pPr>
            <w:hyperlink r:id="rId8" w:history="1">
              <w:r w:rsidR="00EB4287">
                <w:rPr>
                  <w:rFonts w:asciiTheme="minorEastAsia" w:hAnsiTheme="minorEastAsia" w:cs="仿宋_GB2312"/>
                  <w:szCs w:val="21"/>
                </w:rPr>
                <w:t>闭璟</w:t>
              </w:r>
              <w:proofErr w:type="gramStart"/>
              <w:r w:rsidR="00EB4287">
                <w:rPr>
                  <w:rFonts w:asciiTheme="minorEastAsia" w:hAnsiTheme="minorEastAsia" w:cs="仿宋_GB2312"/>
                  <w:szCs w:val="21"/>
                </w:rPr>
                <w:t>珊</w:t>
              </w:r>
              <w:proofErr w:type="gramEnd"/>
            </w:hyperlink>
          </w:p>
        </w:tc>
        <w:tc>
          <w:tcPr>
            <w:tcW w:w="1614" w:type="dxa"/>
            <w:tcBorders>
              <w:top w:val="single" w:sz="4" w:space="0" w:color="auto"/>
              <w:left w:val="nil"/>
              <w:bottom w:val="single" w:sz="4" w:space="0" w:color="auto"/>
              <w:right w:val="single" w:sz="4" w:space="0" w:color="auto"/>
            </w:tcBorders>
            <w:vAlign w:val="center"/>
          </w:tcPr>
          <w:p w:rsidR="00B55EBF" w:rsidRDefault="00EB4287">
            <w:pPr>
              <w:jc w:val="center"/>
              <w:rPr>
                <w:rFonts w:asciiTheme="minorEastAsia" w:hAnsiTheme="minorEastAsia" w:cs="仿宋_GB2312"/>
                <w:szCs w:val="21"/>
              </w:rPr>
            </w:pPr>
            <w:r>
              <w:rPr>
                <w:rFonts w:asciiTheme="minorEastAsia" w:hAnsiTheme="minorEastAsia" w:cs="仿宋_GB2312" w:hint="eastAsia"/>
                <w:szCs w:val="21"/>
              </w:rPr>
              <w:t>兽医师</w:t>
            </w:r>
          </w:p>
        </w:tc>
        <w:tc>
          <w:tcPr>
            <w:tcW w:w="2115" w:type="dxa"/>
            <w:tcBorders>
              <w:top w:val="single" w:sz="4" w:space="0" w:color="auto"/>
              <w:left w:val="nil"/>
              <w:bottom w:val="single" w:sz="4" w:space="0" w:color="auto"/>
              <w:right w:val="single" w:sz="4" w:space="0" w:color="auto"/>
            </w:tcBorders>
            <w:vAlign w:val="center"/>
          </w:tcPr>
          <w:p w:rsidR="00B55EBF" w:rsidRDefault="00EB4287">
            <w:pPr>
              <w:jc w:val="center"/>
              <w:rPr>
                <w:rFonts w:asciiTheme="minorEastAsia" w:hAnsiTheme="minorEastAsia" w:cs="仿宋_GB2312"/>
                <w:szCs w:val="21"/>
              </w:rPr>
            </w:pPr>
            <w:r>
              <w:rPr>
                <w:rFonts w:asciiTheme="minorEastAsia" w:hAnsiTheme="minorEastAsia" w:cs="仿宋_GB2312" w:hint="eastAsia"/>
                <w:szCs w:val="21"/>
              </w:rPr>
              <w:t>广西壮族自治区动物疫病预防控制中心</w:t>
            </w:r>
          </w:p>
        </w:tc>
        <w:tc>
          <w:tcPr>
            <w:tcW w:w="3075" w:type="dxa"/>
            <w:tcBorders>
              <w:top w:val="single" w:sz="4" w:space="0" w:color="auto"/>
              <w:left w:val="nil"/>
              <w:bottom w:val="single" w:sz="4" w:space="0" w:color="auto"/>
              <w:right w:val="single" w:sz="4" w:space="0" w:color="auto"/>
            </w:tcBorders>
            <w:vAlign w:val="center"/>
          </w:tcPr>
          <w:p w:rsidR="00B55EBF" w:rsidRDefault="00EB4287">
            <w:pPr>
              <w:jc w:val="center"/>
              <w:rPr>
                <w:rFonts w:asciiTheme="minorEastAsia" w:hAnsiTheme="minorEastAsia" w:cs="仿宋_GB2312"/>
                <w:szCs w:val="21"/>
              </w:rPr>
            </w:pPr>
            <w:r>
              <w:rPr>
                <w:rFonts w:asciiTheme="minorEastAsia" w:hAnsiTheme="minorEastAsia" w:cs="仿宋_GB2312" w:hint="eastAsia"/>
                <w:szCs w:val="21"/>
              </w:rPr>
              <w:t>修改、编制等</w:t>
            </w:r>
          </w:p>
        </w:tc>
      </w:tr>
      <w:tr w:rsidR="00B55EBF">
        <w:trPr>
          <w:trHeight w:val="355"/>
          <w:jc w:val="center"/>
        </w:trPr>
        <w:tc>
          <w:tcPr>
            <w:tcW w:w="1373" w:type="dxa"/>
            <w:tcBorders>
              <w:top w:val="single" w:sz="4" w:space="0" w:color="auto"/>
              <w:left w:val="single" w:sz="4" w:space="0" w:color="auto"/>
              <w:bottom w:val="single" w:sz="4" w:space="0" w:color="auto"/>
              <w:right w:val="single" w:sz="4" w:space="0" w:color="auto"/>
            </w:tcBorders>
            <w:vAlign w:val="center"/>
          </w:tcPr>
          <w:p w:rsidR="00B55EBF" w:rsidRDefault="00EB4287">
            <w:pPr>
              <w:jc w:val="center"/>
            </w:pPr>
            <w:r>
              <w:rPr>
                <w:rFonts w:hint="eastAsia"/>
              </w:rPr>
              <w:t>曹慧</w:t>
            </w:r>
            <w:proofErr w:type="gramStart"/>
            <w:r>
              <w:rPr>
                <w:rFonts w:hint="eastAsia"/>
              </w:rPr>
              <w:t>慧</w:t>
            </w:r>
            <w:proofErr w:type="gramEnd"/>
          </w:p>
        </w:tc>
        <w:tc>
          <w:tcPr>
            <w:tcW w:w="1614" w:type="dxa"/>
            <w:tcBorders>
              <w:top w:val="single" w:sz="4" w:space="0" w:color="auto"/>
              <w:left w:val="nil"/>
              <w:bottom w:val="single" w:sz="4" w:space="0" w:color="auto"/>
              <w:right w:val="single" w:sz="4" w:space="0" w:color="auto"/>
            </w:tcBorders>
            <w:vAlign w:val="center"/>
          </w:tcPr>
          <w:p w:rsidR="00B55EBF" w:rsidRDefault="00EB4287">
            <w:pPr>
              <w:jc w:val="center"/>
              <w:rPr>
                <w:rFonts w:asciiTheme="minorEastAsia" w:hAnsiTheme="minorEastAsia" w:cs="仿宋_GB2312"/>
                <w:szCs w:val="21"/>
              </w:rPr>
            </w:pPr>
            <w:r>
              <w:rPr>
                <w:rFonts w:asciiTheme="minorEastAsia" w:hAnsiTheme="minorEastAsia" w:cs="仿宋_GB2312" w:hint="eastAsia"/>
                <w:szCs w:val="21"/>
              </w:rPr>
              <w:t>兽医师</w:t>
            </w:r>
          </w:p>
        </w:tc>
        <w:tc>
          <w:tcPr>
            <w:tcW w:w="2115" w:type="dxa"/>
            <w:tcBorders>
              <w:top w:val="single" w:sz="4" w:space="0" w:color="auto"/>
              <w:left w:val="nil"/>
              <w:bottom w:val="single" w:sz="4" w:space="0" w:color="auto"/>
              <w:right w:val="single" w:sz="4" w:space="0" w:color="auto"/>
            </w:tcBorders>
            <w:vAlign w:val="center"/>
          </w:tcPr>
          <w:p w:rsidR="00B55EBF" w:rsidRDefault="00EB4287">
            <w:pPr>
              <w:jc w:val="center"/>
              <w:rPr>
                <w:rFonts w:asciiTheme="minorEastAsia" w:hAnsiTheme="minorEastAsia" w:cs="仿宋_GB2312"/>
                <w:szCs w:val="21"/>
              </w:rPr>
            </w:pPr>
            <w:r>
              <w:rPr>
                <w:rFonts w:asciiTheme="minorEastAsia" w:hAnsiTheme="minorEastAsia" w:cs="仿宋_GB2312" w:hint="eastAsia"/>
                <w:szCs w:val="21"/>
              </w:rPr>
              <w:t>广西壮族自治区农业职业技术大学</w:t>
            </w:r>
          </w:p>
        </w:tc>
        <w:tc>
          <w:tcPr>
            <w:tcW w:w="3075" w:type="dxa"/>
            <w:tcBorders>
              <w:top w:val="single" w:sz="4" w:space="0" w:color="auto"/>
              <w:left w:val="nil"/>
              <w:bottom w:val="single" w:sz="4" w:space="0" w:color="auto"/>
              <w:right w:val="single" w:sz="4" w:space="0" w:color="auto"/>
            </w:tcBorders>
            <w:vAlign w:val="center"/>
          </w:tcPr>
          <w:p w:rsidR="00B55EBF" w:rsidRDefault="00EB4287">
            <w:pPr>
              <w:jc w:val="center"/>
              <w:rPr>
                <w:rFonts w:asciiTheme="minorEastAsia" w:hAnsiTheme="minorEastAsia" w:cs="仿宋_GB2312"/>
                <w:szCs w:val="21"/>
              </w:rPr>
            </w:pPr>
            <w:r>
              <w:rPr>
                <w:rFonts w:asciiTheme="minorEastAsia" w:hAnsiTheme="minorEastAsia" w:cs="仿宋_GB2312" w:hint="eastAsia"/>
                <w:szCs w:val="21"/>
              </w:rPr>
              <w:t>实地考察、走访、调研等</w:t>
            </w:r>
          </w:p>
        </w:tc>
      </w:tr>
      <w:tr w:rsidR="00B55EBF">
        <w:trPr>
          <w:trHeight w:val="557"/>
          <w:jc w:val="center"/>
        </w:trPr>
        <w:tc>
          <w:tcPr>
            <w:tcW w:w="1373" w:type="dxa"/>
            <w:tcBorders>
              <w:top w:val="single" w:sz="4" w:space="0" w:color="auto"/>
              <w:left w:val="single" w:sz="4" w:space="0" w:color="auto"/>
              <w:bottom w:val="single" w:sz="4" w:space="0" w:color="auto"/>
              <w:right w:val="single" w:sz="4" w:space="0" w:color="auto"/>
            </w:tcBorders>
            <w:vAlign w:val="center"/>
          </w:tcPr>
          <w:p w:rsidR="00B55EBF" w:rsidRDefault="00EB4287">
            <w:pPr>
              <w:jc w:val="center"/>
            </w:pPr>
            <w:proofErr w:type="gramStart"/>
            <w:r>
              <w:rPr>
                <w:rFonts w:hint="eastAsia"/>
              </w:rPr>
              <w:t>彭</w:t>
            </w:r>
            <w:proofErr w:type="gramEnd"/>
            <w:r>
              <w:rPr>
                <w:rFonts w:hint="eastAsia"/>
              </w:rPr>
              <w:t xml:space="preserve">  </w:t>
            </w:r>
            <w:r>
              <w:rPr>
                <w:rFonts w:hint="eastAsia"/>
              </w:rPr>
              <w:t>燕</w:t>
            </w:r>
          </w:p>
        </w:tc>
        <w:tc>
          <w:tcPr>
            <w:tcW w:w="1614" w:type="dxa"/>
            <w:tcBorders>
              <w:top w:val="single" w:sz="4" w:space="0" w:color="auto"/>
              <w:left w:val="nil"/>
              <w:bottom w:val="single" w:sz="4" w:space="0" w:color="auto"/>
              <w:right w:val="single" w:sz="4" w:space="0" w:color="auto"/>
            </w:tcBorders>
            <w:vAlign w:val="center"/>
          </w:tcPr>
          <w:p w:rsidR="00B55EBF" w:rsidRDefault="00EB4287">
            <w:pPr>
              <w:jc w:val="center"/>
            </w:pPr>
            <w:r>
              <w:rPr>
                <w:rFonts w:hint="eastAsia"/>
              </w:rPr>
              <w:t>高级畜牧师</w:t>
            </w:r>
          </w:p>
        </w:tc>
        <w:tc>
          <w:tcPr>
            <w:tcW w:w="2115" w:type="dxa"/>
            <w:tcBorders>
              <w:top w:val="single" w:sz="4" w:space="0" w:color="auto"/>
              <w:left w:val="nil"/>
              <w:bottom w:val="single" w:sz="4" w:space="0" w:color="auto"/>
              <w:right w:val="single" w:sz="4" w:space="0" w:color="auto"/>
            </w:tcBorders>
            <w:vAlign w:val="center"/>
          </w:tcPr>
          <w:p w:rsidR="00B55EBF" w:rsidRDefault="00EB4287">
            <w:pPr>
              <w:jc w:val="center"/>
            </w:pPr>
            <w:r>
              <w:rPr>
                <w:rFonts w:hint="eastAsia"/>
              </w:rPr>
              <w:t>广西壮族自治区畜禽品种改良站</w:t>
            </w:r>
          </w:p>
        </w:tc>
        <w:tc>
          <w:tcPr>
            <w:tcW w:w="3075" w:type="dxa"/>
            <w:tcBorders>
              <w:top w:val="single" w:sz="4" w:space="0" w:color="auto"/>
              <w:left w:val="nil"/>
              <w:bottom w:val="single" w:sz="4" w:space="0" w:color="auto"/>
              <w:right w:val="single" w:sz="4" w:space="0" w:color="auto"/>
            </w:tcBorders>
            <w:vAlign w:val="center"/>
          </w:tcPr>
          <w:p w:rsidR="00B55EBF" w:rsidRDefault="00EB4287">
            <w:pPr>
              <w:jc w:val="center"/>
            </w:pPr>
            <w:r>
              <w:rPr>
                <w:rFonts w:hint="eastAsia"/>
              </w:rPr>
              <w:t>修改、编制等</w:t>
            </w:r>
          </w:p>
        </w:tc>
      </w:tr>
      <w:tr w:rsidR="00B55EBF">
        <w:trPr>
          <w:trHeight w:val="416"/>
          <w:jc w:val="center"/>
        </w:trPr>
        <w:tc>
          <w:tcPr>
            <w:tcW w:w="1373" w:type="dxa"/>
            <w:tcBorders>
              <w:top w:val="single" w:sz="4" w:space="0" w:color="auto"/>
              <w:left w:val="single" w:sz="4" w:space="0" w:color="auto"/>
              <w:bottom w:val="single" w:sz="4" w:space="0" w:color="auto"/>
              <w:right w:val="single" w:sz="4" w:space="0" w:color="auto"/>
            </w:tcBorders>
            <w:vAlign w:val="center"/>
          </w:tcPr>
          <w:p w:rsidR="00B55EBF" w:rsidRDefault="00EB4287">
            <w:pPr>
              <w:jc w:val="center"/>
            </w:pPr>
            <w:r>
              <w:rPr>
                <w:rFonts w:hint="eastAsia"/>
              </w:rPr>
              <w:t>苏姣秀</w:t>
            </w:r>
          </w:p>
        </w:tc>
        <w:tc>
          <w:tcPr>
            <w:tcW w:w="1614" w:type="dxa"/>
            <w:tcBorders>
              <w:top w:val="single" w:sz="4" w:space="0" w:color="auto"/>
              <w:left w:val="nil"/>
              <w:bottom w:val="single" w:sz="4" w:space="0" w:color="auto"/>
              <w:right w:val="single" w:sz="4" w:space="0" w:color="auto"/>
            </w:tcBorders>
            <w:vAlign w:val="center"/>
          </w:tcPr>
          <w:p w:rsidR="00B55EBF" w:rsidRDefault="00EB4287">
            <w:pPr>
              <w:jc w:val="center"/>
            </w:pPr>
            <w:r>
              <w:rPr>
                <w:rFonts w:hint="eastAsia"/>
              </w:rPr>
              <w:t>高级兽医师</w:t>
            </w:r>
          </w:p>
        </w:tc>
        <w:tc>
          <w:tcPr>
            <w:tcW w:w="2115" w:type="dxa"/>
            <w:tcBorders>
              <w:top w:val="single" w:sz="4" w:space="0" w:color="auto"/>
              <w:left w:val="nil"/>
              <w:bottom w:val="single" w:sz="4" w:space="0" w:color="auto"/>
              <w:right w:val="single" w:sz="4" w:space="0" w:color="auto"/>
            </w:tcBorders>
            <w:vAlign w:val="center"/>
          </w:tcPr>
          <w:p w:rsidR="00B55EBF" w:rsidRDefault="00EB4287">
            <w:pPr>
              <w:jc w:val="center"/>
            </w:pPr>
            <w:r>
              <w:rPr>
                <w:rFonts w:hint="eastAsia"/>
              </w:rPr>
              <w:t>广西壮族自治区动物疫病预防控制中心</w:t>
            </w:r>
          </w:p>
        </w:tc>
        <w:tc>
          <w:tcPr>
            <w:tcW w:w="3075" w:type="dxa"/>
            <w:tcBorders>
              <w:top w:val="single" w:sz="4" w:space="0" w:color="auto"/>
              <w:left w:val="nil"/>
              <w:bottom w:val="single" w:sz="4" w:space="0" w:color="auto"/>
              <w:right w:val="single" w:sz="4" w:space="0" w:color="auto"/>
            </w:tcBorders>
            <w:vAlign w:val="center"/>
          </w:tcPr>
          <w:p w:rsidR="00B55EBF" w:rsidRDefault="00EB4287">
            <w:pPr>
              <w:jc w:val="center"/>
            </w:pPr>
            <w:r>
              <w:rPr>
                <w:rFonts w:hint="eastAsia"/>
              </w:rPr>
              <w:t>修改、编制等</w:t>
            </w:r>
          </w:p>
        </w:tc>
      </w:tr>
      <w:tr w:rsidR="00B55EBF">
        <w:trPr>
          <w:trHeight w:val="410"/>
          <w:jc w:val="center"/>
        </w:trPr>
        <w:tc>
          <w:tcPr>
            <w:tcW w:w="1373" w:type="dxa"/>
            <w:tcBorders>
              <w:top w:val="single" w:sz="4" w:space="0" w:color="auto"/>
              <w:left w:val="single" w:sz="4" w:space="0" w:color="auto"/>
              <w:bottom w:val="single" w:sz="4" w:space="0" w:color="auto"/>
              <w:right w:val="single" w:sz="4" w:space="0" w:color="auto"/>
            </w:tcBorders>
            <w:vAlign w:val="center"/>
          </w:tcPr>
          <w:p w:rsidR="00B55EBF" w:rsidRDefault="00EB4287">
            <w:pPr>
              <w:jc w:val="center"/>
            </w:pPr>
            <w:r>
              <w:rPr>
                <w:rFonts w:hint="eastAsia"/>
              </w:rPr>
              <w:t>刘瑞鑫</w:t>
            </w:r>
          </w:p>
        </w:tc>
        <w:tc>
          <w:tcPr>
            <w:tcW w:w="1614" w:type="dxa"/>
            <w:tcBorders>
              <w:top w:val="single" w:sz="4" w:space="0" w:color="auto"/>
              <w:left w:val="nil"/>
              <w:bottom w:val="single" w:sz="4" w:space="0" w:color="auto"/>
              <w:right w:val="single" w:sz="4" w:space="0" w:color="auto"/>
            </w:tcBorders>
            <w:vAlign w:val="center"/>
          </w:tcPr>
          <w:p w:rsidR="00B55EBF" w:rsidRDefault="00EB4287">
            <w:pPr>
              <w:jc w:val="center"/>
            </w:pPr>
            <w:r>
              <w:rPr>
                <w:rFonts w:hint="eastAsia"/>
              </w:rPr>
              <w:t>高级畜牧师</w:t>
            </w:r>
          </w:p>
        </w:tc>
        <w:tc>
          <w:tcPr>
            <w:tcW w:w="2115" w:type="dxa"/>
            <w:tcBorders>
              <w:top w:val="single" w:sz="4" w:space="0" w:color="auto"/>
              <w:left w:val="nil"/>
              <w:bottom w:val="single" w:sz="4" w:space="0" w:color="auto"/>
              <w:right w:val="single" w:sz="4" w:space="0" w:color="auto"/>
            </w:tcBorders>
            <w:vAlign w:val="center"/>
          </w:tcPr>
          <w:p w:rsidR="00B55EBF" w:rsidRDefault="00EB4287">
            <w:pPr>
              <w:jc w:val="center"/>
            </w:pPr>
            <w:r>
              <w:rPr>
                <w:rFonts w:hint="eastAsia"/>
              </w:rPr>
              <w:t>广西壮族自治区畜禽品种改良站</w:t>
            </w:r>
          </w:p>
        </w:tc>
        <w:tc>
          <w:tcPr>
            <w:tcW w:w="3075" w:type="dxa"/>
            <w:tcBorders>
              <w:top w:val="single" w:sz="4" w:space="0" w:color="auto"/>
              <w:left w:val="nil"/>
              <w:bottom w:val="single" w:sz="4" w:space="0" w:color="auto"/>
              <w:right w:val="single" w:sz="4" w:space="0" w:color="auto"/>
            </w:tcBorders>
            <w:vAlign w:val="center"/>
          </w:tcPr>
          <w:p w:rsidR="00B55EBF" w:rsidRDefault="00EB4287">
            <w:pPr>
              <w:jc w:val="center"/>
            </w:pPr>
            <w:r>
              <w:rPr>
                <w:rFonts w:asciiTheme="minorEastAsia" w:hAnsiTheme="minorEastAsia" w:cs="仿宋_GB2312" w:hint="eastAsia"/>
                <w:szCs w:val="21"/>
              </w:rPr>
              <w:t>实地考察、走访、调研等</w:t>
            </w:r>
          </w:p>
        </w:tc>
      </w:tr>
      <w:tr w:rsidR="00B55EBF">
        <w:trPr>
          <w:trHeight w:val="404"/>
          <w:jc w:val="center"/>
        </w:trPr>
        <w:tc>
          <w:tcPr>
            <w:tcW w:w="1373" w:type="dxa"/>
            <w:tcBorders>
              <w:top w:val="single" w:sz="4" w:space="0" w:color="auto"/>
              <w:left w:val="single" w:sz="4" w:space="0" w:color="auto"/>
              <w:bottom w:val="single" w:sz="4" w:space="0" w:color="auto"/>
              <w:right w:val="single" w:sz="4" w:space="0" w:color="auto"/>
            </w:tcBorders>
            <w:vAlign w:val="center"/>
          </w:tcPr>
          <w:p w:rsidR="00B55EBF" w:rsidRDefault="00EB4287">
            <w:pPr>
              <w:jc w:val="center"/>
            </w:pPr>
            <w:r>
              <w:rPr>
                <w:rFonts w:hint="eastAsia"/>
              </w:rPr>
              <w:t>赵子欣</w:t>
            </w:r>
          </w:p>
        </w:tc>
        <w:tc>
          <w:tcPr>
            <w:tcW w:w="1614" w:type="dxa"/>
            <w:tcBorders>
              <w:top w:val="single" w:sz="4" w:space="0" w:color="auto"/>
              <w:left w:val="nil"/>
              <w:bottom w:val="single" w:sz="4" w:space="0" w:color="auto"/>
              <w:right w:val="single" w:sz="4" w:space="0" w:color="auto"/>
            </w:tcBorders>
            <w:vAlign w:val="center"/>
          </w:tcPr>
          <w:p w:rsidR="00B55EBF" w:rsidRDefault="00EB4287">
            <w:pPr>
              <w:jc w:val="center"/>
            </w:pPr>
            <w:r>
              <w:rPr>
                <w:rFonts w:hint="eastAsia"/>
              </w:rPr>
              <w:t>兽医师</w:t>
            </w:r>
          </w:p>
        </w:tc>
        <w:tc>
          <w:tcPr>
            <w:tcW w:w="2115" w:type="dxa"/>
            <w:tcBorders>
              <w:top w:val="single" w:sz="4" w:space="0" w:color="auto"/>
              <w:left w:val="nil"/>
              <w:bottom w:val="single" w:sz="4" w:space="0" w:color="auto"/>
              <w:right w:val="single" w:sz="4" w:space="0" w:color="auto"/>
            </w:tcBorders>
            <w:vAlign w:val="center"/>
          </w:tcPr>
          <w:p w:rsidR="00B55EBF" w:rsidRDefault="00EB4287">
            <w:pPr>
              <w:jc w:val="center"/>
            </w:pPr>
            <w:r>
              <w:rPr>
                <w:rFonts w:hint="eastAsia"/>
              </w:rPr>
              <w:t>广西壮族自治区动物疫病预防控制中心</w:t>
            </w:r>
          </w:p>
        </w:tc>
        <w:tc>
          <w:tcPr>
            <w:tcW w:w="3075" w:type="dxa"/>
            <w:tcBorders>
              <w:top w:val="single" w:sz="4" w:space="0" w:color="auto"/>
              <w:left w:val="nil"/>
              <w:bottom w:val="single" w:sz="4" w:space="0" w:color="auto"/>
              <w:right w:val="single" w:sz="4" w:space="0" w:color="auto"/>
            </w:tcBorders>
            <w:vAlign w:val="center"/>
          </w:tcPr>
          <w:p w:rsidR="00B55EBF" w:rsidRDefault="00EB4287">
            <w:pPr>
              <w:jc w:val="center"/>
            </w:pPr>
            <w:r>
              <w:rPr>
                <w:rFonts w:hint="eastAsia"/>
              </w:rPr>
              <w:t>修改、编制等</w:t>
            </w:r>
          </w:p>
        </w:tc>
      </w:tr>
      <w:tr w:rsidR="00B55EBF">
        <w:trPr>
          <w:trHeight w:val="411"/>
          <w:jc w:val="center"/>
        </w:trPr>
        <w:tc>
          <w:tcPr>
            <w:tcW w:w="1373" w:type="dxa"/>
            <w:tcBorders>
              <w:top w:val="single" w:sz="4" w:space="0" w:color="auto"/>
              <w:left w:val="single" w:sz="4" w:space="0" w:color="auto"/>
              <w:bottom w:val="single" w:sz="4" w:space="0" w:color="auto"/>
              <w:right w:val="single" w:sz="4" w:space="0" w:color="auto"/>
            </w:tcBorders>
            <w:vAlign w:val="center"/>
          </w:tcPr>
          <w:p w:rsidR="00B55EBF" w:rsidRDefault="00EB4287">
            <w:pPr>
              <w:jc w:val="center"/>
            </w:pPr>
            <w:r>
              <w:rPr>
                <w:rFonts w:hint="eastAsia"/>
              </w:rPr>
              <w:t>苏凯</w:t>
            </w:r>
          </w:p>
        </w:tc>
        <w:tc>
          <w:tcPr>
            <w:tcW w:w="1614" w:type="dxa"/>
            <w:tcBorders>
              <w:top w:val="single" w:sz="4" w:space="0" w:color="auto"/>
              <w:left w:val="nil"/>
              <w:bottom w:val="single" w:sz="4" w:space="0" w:color="auto"/>
              <w:right w:val="single" w:sz="4" w:space="0" w:color="auto"/>
            </w:tcBorders>
            <w:vAlign w:val="center"/>
          </w:tcPr>
          <w:p w:rsidR="00B55EBF" w:rsidRDefault="00EB4287">
            <w:pPr>
              <w:jc w:val="center"/>
            </w:pPr>
            <w:r>
              <w:rPr>
                <w:rFonts w:hint="eastAsia"/>
              </w:rPr>
              <w:t>兽医师</w:t>
            </w:r>
          </w:p>
        </w:tc>
        <w:tc>
          <w:tcPr>
            <w:tcW w:w="2115" w:type="dxa"/>
            <w:tcBorders>
              <w:top w:val="single" w:sz="4" w:space="0" w:color="auto"/>
              <w:left w:val="nil"/>
              <w:bottom w:val="single" w:sz="4" w:space="0" w:color="auto"/>
              <w:right w:val="single" w:sz="4" w:space="0" w:color="auto"/>
            </w:tcBorders>
            <w:vAlign w:val="center"/>
          </w:tcPr>
          <w:p w:rsidR="00B55EBF" w:rsidRDefault="00EB4287">
            <w:pPr>
              <w:jc w:val="center"/>
            </w:pPr>
            <w:r>
              <w:rPr>
                <w:rFonts w:hint="eastAsia"/>
              </w:rPr>
              <w:t>广西壮族自治区动物疫病预防控制中心</w:t>
            </w:r>
          </w:p>
        </w:tc>
        <w:tc>
          <w:tcPr>
            <w:tcW w:w="3075" w:type="dxa"/>
            <w:tcBorders>
              <w:top w:val="single" w:sz="4" w:space="0" w:color="auto"/>
              <w:left w:val="nil"/>
              <w:bottom w:val="single" w:sz="4" w:space="0" w:color="auto"/>
              <w:right w:val="single" w:sz="4" w:space="0" w:color="auto"/>
            </w:tcBorders>
            <w:vAlign w:val="center"/>
          </w:tcPr>
          <w:p w:rsidR="00B55EBF" w:rsidRDefault="00EB4287">
            <w:pPr>
              <w:jc w:val="center"/>
            </w:pPr>
            <w:r>
              <w:rPr>
                <w:rFonts w:asciiTheme="minorEastAsia" w:hAnsiTheme="minorEastAsia" w:cs="仿宋_GB2312" w:hint="eastAsia"/>
                <w:szCs w:val="21"/>
              </w:rPr>
              <w:t>实地考察、走访、调研等</w:t>
            </w:r>
          </w:p>
        </w:tc>
      </w:tr>
      <w:tr w:rsidR="00B55EBF">
        <w:trPr>
          <w:trHeight w:val="405"/>
          <w:jc w:val="center"/>
        </w:trPr>
        <w:tc>
          <w:tcPr>
            <w:tcW w:w="1373" w:type="dxa"/>
            <w:tcBorders>
              <w:top w:val="single" w:sz="4" w:space="0" w:color="auto"/>
              <w:left w:val="single" w:sz="4" w:space="0" w:color="auto"/>
              <w:bottom w:val="single" w:sz="4" w:space="0" w:color="auto"/>
              <w:right w:val="single" w:sz="4" w:space="0" w:color="auto"/>
            </w:tcBorders>
            <w:vAlign w:val="center"/>
          </w:tcPr>
          <w:p w:rsidR="00B55EBF" w:rsidRDefault="00EB4287">
            <w:pPr>
              <w:jc w:val="center"/>
            </w:pPr>
            <w:r>
              <w:rPr>
                <w:rFonts w:hint="eastAsia"/>
              </w:rPr>
              <w:t>李</w:t>
            </w:r>
            <w:r>
              <w:rPr>
                <w:rFonts w:hint="eastAsia"/>
              </w:rPr>
              <w:t xml:space="preserve">  </w:t>
            </w:r>
            <w:r>
              <w:rPr>
                <w:rFonts w:hint="eastAsia"/>
              </w:rPr>
              <w:t>军</w:t>
            </w:r>
          </w:p>
        </w:tc>
        <w:tc>
          <w:tcPr>
            <w:tcW w:w="1614" w:type="dxa"/>
            <w:tcBorders>
              <w:top w:val="single" w:sz="4" w:space="0" w:color="auto"/>
              <w:left w:val="nil"/>
              <w:bottom w:val="single" w:sz="4" w:space="0" w:color="auto"/>
              <w:right w:val="single" w:sz="4" w:space="0" w:color="auto"/>
            </w:tcBorders>
            <w:vAlign w:val="center"/>
          </w:tcPr>
          <w:p w:rsidR="00B55EBF" w:rsidRDefault="00EB4287">
            <w:pPr>
              <w:jc w:val="center"/>
            </w:pPr>
            <w:r>
              <w:rPr>
                <w:rFonts w:hint="eastAsia"/>
              </w:rPr>
              <w:t>研究员</w:t>
            </w:r>
          </w:p>
        </w:tc>
        <w:tc>
          <w:tcPr>
            <w:tcW w:w="2115" w:type="dxa"/>
            <w:tcBorders>
              <w:top w:val="single" w:sz="4" w:space="0" w:color="auto"/>
              <w:left w:val="nil"/>
              <w:bottom w:val="single" w:sz="4" w:space="0" w:color="auto"/>
              <w:right w:val="single" w:sz="4" w:space="0" w:color="auto"/>
            </w:tcBorders>
            <w:vAlign w:val="center"/>
          </w:tcPr>
          <w:p w:rsidR="00B55EBF" w:rsidRDefault="00EB4287">
            <w:pPr>
              <w:jc w:val="center"/>
            </w:pPr>
            <w:r>
              <w:rPr>
                <w:rFonts w:hint="eastAsia"/>
              </w:rPr>
              <w:t>广西壮族自治区动物疫病预防控制中心</w:t>
            </w:r>
          </w:p>
        </w:tc>
        <w:tc>
          <w:tcPr>
            <w:tcW w:w="3075" w:type="dxa"/>
            <w:tcBorders>
              <w:top w:val="single" w:sz="4" w:space="0" w:color="auto"/>
              <w:left w:val="nil"/>
              <w:bottom w:val="single" w:sz="4" w:space="0" w:color="auto"/>
              <w:right w:val="single" w:sz="4" w:space="0" w:color="auto"/>
            </w:tcBorders>
            <w:vAlign w:val="center"/>
          </w:tcPr>
          <w:p w:rsidR="00B55EBF" w:rsidRDefault="00EB4287">
            <w:pPr>
              <w:jc w:val="center"/>
            </w:pPr>
            <w:r>
              <w:rPr>
                <w:rFonts w:hint="eastAsia"/>
              </w:rPr>
              <w:t>修改、编制等</w:t>
            </w:r>
          </w:p>
        </w:tc>
      </w:tr>
    </w:tbl>
    <w:p w:rsidR="00B55EBF" w:rsidRDefault="00B55EBF">
      <w:pPr>
        <w:rPr>
          <w:rFonts w:asciiTheme="minorEastAsia" w:hAnsiTheme="minorEastAsia" w:cs="仿宋_GB2312"/>
          <w:szCs w:val="21"/>
        </w:rPr>
      </w:pPr>
    </w:p>
    <w:p w:rsidR="00B55EBF" w:rsidRDefault="00EB4287">
      <w:pPr>
        <w:adjustRightInd w:val="0"/>
        <w:snapToGrid w:val="0"/>
        <w:spacing w:line="560" w:lineRule="exact"/>
        <w:ind w:firstLineChars="100" w:firstLine="320"/>
        <w:rPr>
          <w:rFonts w:ascii="楷体_GB2312" w:eastAsia="楷体_GB2312" w:hAnsi="楷体"/>
          <w:color w:val="000000"/>
          <w:sz w:val="32"/>
          <w:szCs w:val="32"/>
        </w:rPr>
      </w:pPr>
      <w:r>
        <w:rPr>
          <w:rFonts w:ascii="楷体_GB2312" w:eastAsia="楷体_GB2312" w:hAnsi="楷体" w:hint="eastAsia"/>
          <w:color w:val="000000"/>
          <w:sz w:val="32"/>
          <w:szCs w:val="32"/>
        </w:rPr>
        <w:lastRenderedPageBreak/>
        <w:t>（三）主要起草过程</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2022年3月，召开标准编制讨论会，讨论开展标准编制的方案，标准制定的思路等。</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2022年4月，向广西标准化协会申请项目立项并获得批准。</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2022年5月起，开展标准调研和相关资料收集整理工作。编写小组成员梳理国内相关法律、法规和政策，查阅相关文献。同时到全区各地市的种羊场，通过实地考察、现场交流、面对面座谈等方式开展调研，了解各种羊场的建设情况、管理水平、疫病控制和净化条件、建场和生产中遇到的问题。</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2022年6月起，选取条件适宜的种羊场，开展应用试点工作。</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2022年10月，完成种羊</w:t>
      </w:r>
      <w:proofErr w:type="gramStart"/>
      <w:r>
        <w:rPr>
          <w:rFonts w:asciiTheme="minorEastAsia" w:hAnsiTheme="minorEastAsia" w:hint="eastAsia"/>
          <w:sz w:val="28"/>
          <w:szCs w:val="28"/>
        </w:rPr>
        <w:t>场重点</w:t>
      </w:r>
      <w:proofErr w:type="gramEnd"/>
      <w:r>
        <w:rPr>
          <w:rFonts w:asciiTheme="minorEastAsia" w:hAnsiTheme="minorEastAsia" w:hint="eastAsia"/>
          <w:sz w:val="28"/>
          <w:szCs w:val="28"/>
        </w:rPr>
        <w:t>疫病净化的试点工作，取得相关数据和技术成果，进行总结整理。</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2022年11月，结合自身的研究工作成果和其他</w:t>
      </w:r>
      <w:r>
        <w:rPr>
          <w:rFonts w:asciiTheme="minorEastAsia" w:hAnsiTheme="minorEastAsia"/>
          <w:sz w:val="28"/>
          <w:szCs w:val="28"/>
        </w:rPr>
        <w:t>星级无规定动物疫病养殖场</w:t>
      </w:r>
      <w:r>
        <w:rPr>
          <w:rFonts w:asciiTheme="minorEastAsia" w:hAnsiTheme="minorEastAsia" w:hint="eastAsia"/>
          <w:sz w:val="28"/>
          <w:szCs w:val="28"/>
        </w:rPr>
        <w:t>的成功经验，组织标准起草人员开展充分研讨，开始标准文本草案的编写。</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2023年1月，完成草案稿的编写，组内专家及各参编单位对标准草案稿进行讨论并提出修改意见。</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2023年</w:t>
      </w:r>
      <w:r w:rsidR="00BB0C8E">
        <w:rPr>
          <w:rFonts w:asciiTheme="minorEastAsia" w:hAnsiTheme="minorEastAsia" w:hint="eastAsia"/>
          <w:sz w:val="28"/>
          <w:szCs w:val="28"/>
        </w:rPr>
        <w:t>4</w:t>
      </w:r>
      <w:r>
        <w:rPr>
          <w:rFonts w:asciiTheme="minorEastAsia" w:hAnsiTheme="minorEastAsia" w:hint="eastAsia"/>
          <w:sz w:val="28"/>
          <w:szCs w:val="28"/>
        </w:rPr>
        <w:t>月，形成了标准征求意见稿，向社会广泛征求意见。</w:t>
      </w:r>
    </w:p>
    <w:p w:rsidR="00B55EBF" w:rsidRDefault="00EB4287">
      <w:pPr>
        <w:adjustRightInd w:val="0"/>
        <w:snapToGrid w:val="0"/>
        <w:spacing w:line="560" w:lineRule="exact"/>
        <w:ind w:firstLineChars="200" w:firstLine="640"/>
        <w:rPr>
          <w:rFonts w:ascii="黑体" w:eastAsia="黑体" w:hAnsi="黑体"/>
          <w:sz w:val="32"/>
          <w:szCs w:val="32"/>
        </w:rPr>
      </w:pPr>
      <w:r>
        <w:rPr>
          <w:rFonts w:ascii="黑体" w:eastAsia="黑体" w:hAnsi="黑体" w:hint="eastAsia"/>
          <w:sz w:val="32"/>
          <w:szCs w:val="32"/>
        </w:rPr>
        <w:t>三、主要技术要求确定的说明</w:t>
      </w:r>
    </w:p>
    <w:p w:rsidR="00B55EBF" w:rsidRDefault="00EB4287">
      <w:pPr>
        <w:adjustRightInd w:val="0"/>
        <w:snapToGrid w:val="0"/>
        <w:spacing w:line="560" w:lineRule="exact"/>
        <w:rPr>
          <w:rFonts w:ascii="楷体_GB2312" w:eastAsia="楷体_GB2312" w:hAnsi="楷体"/>
          <w:color w:val="000000"/>
          <w:sz w:val="32"/>
          <w:szCs w:val="32"/>
        </w:rPr>
      </w:pPr>
      <w:r>
        <w:rPr>
          <w:rFonts w:ascii="黑体" w:eastAsia="黑体" w:hAnsi="黑体" w:hint="eastAsia"/>
          <w:sz w:val="32"/>
          <w:szCs w:val="32"/>
        </w:rPr>
        <w:t xml:space="preserve">   </w:t>
      </w:r>
      <w:r>
        <w:rPr>
          <w:rFonts w:ascii="楷体_GB2312" w:eastAsia="楷体_GB2312" w:hAnsi="楷体" w:hint="eastAsia"/>
          <w:color w:val="000000"/>
          <w:sz w:val="32"/>
          <w:szCs w:val="32"/>
        </w:rPr>
        <w:t xml:space="preserve"> （一）编制原则</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（1）规范性：本标准根据GB/T 1.1-2020《标准化工作导则 第一部分：标准化文件的结构和起草规则》进行编制，按照标准制定的</w:t>
      </w:r>
      <w:r>
        <w:rPr>
          <w:rFonts w:asciiTheme="minorEastAsia" w:hAnsiTheme="minorEastAsia" w:hint="eastAsia"/>
          <w:sz w:val="28"/>
          <w:szCs w:val="28"/>
        </w:rPr>
        <w:lastRenderedPageBreak/>
        <w:t>规范程序进行工作。</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（2）适用性：标准主要内容与标准的适用范围相匹配，标准的技术内容尽量完整。</w:t>
      </w:r>
    </w:p>
    <w:p w:rsidR="00B55EBF" w:rsidRDefault="00EB4287">
      <w:pPr>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（3）协调性：目前国内尚无相应或相似的国家标准、行业标准，只有3个与种羊</w:t>
      </w:r>
      <w:proofErr w:type="gramStart"/>
      <w:r>
        <w:rPr>
          <w:rFonts w:asciiTheme="minorEastAsia" w:hAnsiTheme="minorEastAsia" w:hint="eastAsia"/>
          <w:sz w:val="28"/>
          <w:szCs w:val="28"/>
        </w:rPr>
        <w:t>场重要</w:t>
      </w:r>
      <w:proofErr w:type="gramEnd"/>
      <w:r>
        <w:rPr>
          <w:rFonts w:asciiTheme="minorEastAsia" w:hAnsiTheme="minorEastAsia" w:hint="eastAsia"/>
          <w:sz w:val="28"/>
          <w:szCs w:val="28"/>
        </w:rPr>
        <w:t>疫病净化相关的标准，分别是驻马店市颁布地方标准《规模化种羊场动物疫病净化设施建设和管理指南》（DB4117/T 266-2019）、辽宁省地方标准《羊养殖场小反刍兽疫净化技术规范》（DB21/T 3271-2020）和团体标准《种羊场布鲁氏菌病净化要求》（T/CVMA 50-2020）。</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本标准特别注意与现有政策、法规和其他现行标准的协调，避免矛盾和冲突。具体如下：</w:t>
      </w:r>
    </w:p>
    <w:p w:rsidR="00B55EBF" w:rsidRDefault="00EB4287">
      <w:pPr>
        <w:pStyle w:val="a6"/>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hint="eastAsia"/>
          <w:kern w:val="2"/>
          <w:sz w:val="28"/>
          <w:szCs w:val="28"/>
        </w:rPr>
        <w:t>GB/T 16567 种畜禽调运检疫技术规范</w:t>
      </w:r>
    </w:p>
    <w:p w:rsidR="00B55EBF" w:rsidRDefault="00EB4287">
      <w:pPr>
        <w:pStyle w:val="a6"/>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hint="eastAsia"/>
          <w:kern w:val="2"/>
          <w:sz w:val="28"/>
          <w:szCs w:val="28"/>
        </w:rPr>
        <w:t>GB/T 18935 口蹄疫诊断技术</w:t>
      </w:r>
    </w:p>
    <w:p w:rsidR="00B55EBF" w:rsidRDefault="00EB4287">
      <w:pPr>
        <w:pStyle w:val="a6"/>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hint="eastAsia"/>
          <w:kern w:val="2"/>
          <w:sz w:val="28"/>
          <w:szCs w:val="28"/>
        </w:rPr>
        <w:t>GB/T 18646 动物布鲁氏菌病诊断技术</w:t>
      </w:r>
    </w:p>
    <w:p w:rsidR="00B55EBF" w:rsidRDefault="00EB4287">
      <w:pPr>
        <w:pStyle w:val="a7"/>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hint="eastAsia"/>
          <w:kern w:val="2"/>
          <w:sz w:val="28"/>
          <w:szCs w:val="28"/>
        </w:rPr>
        <w:t>GB/T 36195 畜禽粪便无害化处理技术规范</w:t>
      </w:r>
    </w:p>
    <w:p w:rsidR="00B55EBF" w:rsidRDefault="00EB4287">
      <w:pPr>
        <w:pStyle w:val="a6"/>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hint="eastAsia"/>
          <w:kern w:val="2"/>
          <w:sz w:val="28"/>
          <w:szCs w:val="28"/>
        </w:rPr>
        <w:t>GB/T 27982 小反刍兽疫诊断技术</w:t>
      </w:r>
    </w:p>
    <w:p w:rsidR="00B55EBF" w:rsidRDefault="00EB4287">
      <w:pPr>
        <w:pStyle w:val="a6"/>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hint="eastAsia"/>
          <w:kern w:val="2"/>
          <w:sz w:val="28"/>
          <w:szCs w:val="28"/>
        </w:rPr>
        <w:t xml:space="preserve">GB 18596 畜禽养殖业污染物排放标准 </w:t>
      </w:r>
    </w:p>
    <w:p w:rsidR="00B55EBF" w:rsidRDefault="00EB4287">
      <w:pPr>
        <w:pStyle w:val="a6"/>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hint="eastAsia"/>
          <w:kern w:val="2"/>
          <w:sz w:val="28"/>
          <w:szCs w:val="28"/>
        </w:rPr>
        <w:t xml:space="preserve">NY/T 388 畜禽场环境质量标准 </w:t>
      </w:r>
    </w:p>
    <w:p w:rsidR="00B55EBF" w:rsidRDefault="00EB4287">
      <w:pPr>
        <w:pStyle w:val="a6"/>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hint="eastAsia"/>
          <w:kern w:val="2"/>
          <w:sz w:val="28"/>
          <w:szCs w:val="28"/>
        </w:rPr>
        <w:t xml:space="preserve">NY/T 1167 畜禽场环境质量及卫生控制规范 </w:t>
      </w:r>
    </w:p>
    <w:p w:rsidR="00B55EBF" w:rsidRDefault="00EB4287">
      <w:pPr>
        <w:pStyle w:val="a6"/>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hint="eastAsia"/>
          <w:kern w:val="2"/>
          <w:sz w:val="28"/>
          <w:szCs w:val="28"/>
        </w:rPr>
        <w:t xml:space="preserve">NY 5027 无公害食品 畜禽饮用水水质 </w:t>
      </w:r>
    </w:p>
    <w:p w:rsidR="00B55EBF" w:rsidRDefault="00EB4287">
      <w:pPr>
        <w:pStyle w:val="a6"/>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kern w:val="2"/>
          <w:sz w:val="28"/>
          <w:szCs w:val="28"/>
        </w:rPr>
        <w:t xml:space="preserve">NY/T 5030 </w:t>
      </w:r>
      <w:r>
        <w:rPr>
          <w:rFonts w:asciiTheme="minorEastAsia" w:eastAsiaTheme="minorEastAsia" w:hAnsiTheme="minorEastAsia" w:cstheme="minorBidi" w:hint="eastAsia"/>
          <w:kern w:val="2"/>
          <w:sz w:val="28"/>
          <w:szCs w:val="28"/>
        </w:rPr>
        <w:t>无公害食品兽药使用准则</w:t>
      </w:r>
    </w:p>
    <w:p w:rsidR="00B55EBF" w:rsidRDefault="00EB4287">
      <w:pPr>
        <w:pStyle w:val="a6"/>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hint="eastAsia"/>
          <w:kern w:val="2"/>
          <w:sz w:val="28"/>
          <w:szCs w:val="28"/>
        </w:rPr>
        <w:lastRenderedPageBreak/>
        <w:t>DB45/T 748—2011 山羊痘病毒、羊传染性脓疮病毒的检测 二重聚合酶链反应法</w:t>
      </w:r>
    </w:p>
    <w:p w:rsidR="00B55EBF" w:rsidRDefault="00EB4287">
      <w:pPr>
        <w:pStyle w:val="a7"/>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hint="eastAsia"/>
          <w:kern w:val="2"/>
          <w:sz w:val="28"/>
          <w:szCs w:val="28"/>
        </w:rPr>
        <w:t xml:space="preserve">中华人民共和国农业部.布鲁氏菌病防治技术规范.2007 </w:t>
      </w:r>
    </w:p>
    <w:p w:rsidR="00B55EBF" w:rsidRDefault="00EB4287">
      <w:pPr>
        <w:pStyle w:val="a7"/>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hint="eastAsia"/>
          <w:kern w:val="2"/>
          <w:sz w:val="28"/>
          <w:szCs w:val="28"/>
        </w:rPr>
        <w:t>中华人民共和国农业农村部.跨省调运乳用种用动物产地检疫规程.2019</w:t>
      </w:r>
    </w:p>
    <w:p w:rsidR="00B55EBF" w:rsidRDefault="00EB4287">
      <w:pPr>
        <w:pStyle w:val="a7"/>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hint="eastAsia"/>
          <w:kern w:val="2"/>
          <w:sz w:val="28"/>
          <w:szCs w:val="28"/>
        </w:rPr>
        <w:t>中华人民共和国农业部.病死及病害动物无害化处理技术规范.2017</w:t>
      </w:r>
    </w:p>
    <w:p w:rsidR="00B55EBF" w:rsidRDefault="00EB4287">
      <w:pPr>
        <w:adjustRightInd w:val="0"/>
        <w:snapToGrid w:val="0"/>
        <w:spacing w:line="560" w:lineRule="exact"/>
        <w:ind w:firstLineChars="100" w:firstLine="320"/>
        <w:rPr>
          <w:rFonts w:asciiTheme="minorEastAsia" w:hAnsiTheme="minorEastAsia"/>
          <w:sz w:val="28"/>
          <w:szCs w:val="28"/>
        </w:rPr>
      </w:pPr>
      <w:r>
        <w:rPr>
          <w:rFonts w:ascii="楷体_GB2312" w:eastAsia="楷体_GB2312" w:hAnsi="楷体" w:hint="eastAsia"/>
          <w:color w:val="000000"/>
          <w:sz w:val="32"/>
          <w:szCs w:val="32"/>
        </w:rPr>
        <w:t>（二）标准适用范围和主要内容</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经过小组</w:t>
      </w:r>
      <w:proofErr w:type="gramStart"/>
      <w:r>
        <w:rPr>
          <w:rFonts w:asciiTheme="minorEastAsia" w:hAnsiTheme="minorEastAsia" w:hint="eastAsia"/>
          <w:sz w:val="28"/>
          <w:szCs w:val="28"/>
        </w:rPr>
        <w:t>内专家</w:t>
      </w:r>
      <w:proofErr w:type="gramEnd"/>
      <w:r>
        <w:rPr>
          <w:rFonts w:asciiTheme="minorEastAsia" w:hAnsiTheme="minorEastAsia" w:hint="eastAsia"/>
          <w:sz w:val="28"/>
          <w:szCs w:val="28"/>
        </w:rPr>
        <w:t>和成员充分研讨决定，适用于广西境内获得《动物防疫条件合格证》和《种畜禽生产经营许可证》的种羊场。本标准规定了种羊场口蹄疫、布鲁氏菌病、羊痘、小反刍兽疫等4种重点疫病的净化及维持，主要包括种羊场的布局与设置、管理措施、重点疫病监测净化、净化效果维持等方面的技术内容。</w:t>
      </w:r>
    </w:p>
    <w:p w:rsidR="00B55EBF" w:rsidRDefault="00EB4287">
      <w:pPr>
        <w:adjustRightInd w:val="0"/>
        <w:snapToGrid w:val="0"/>
        <w:spacing w:line="560" w:lineRule="exact"/>
        <w:ind w:firstLineChars="200" w:firstLine="640"/>
        <w:rPr>
          <w:rFonts w:asciiTheme="minorEastAsia" w:hAnsiTheme="minorEastAsia"/>
          <w:sz w:val="28"/>
          <w:szCs w:val="28"/>
        </w:rPr>
      </w:pPr>
      <w:r>
        <w:rPr>
          <w:rFonts w:ascii="黑体" w:eastAsia="黑体" w:hAnsi="黑体" w:hint="eastAsia"/>
          <w:sz w:val="32"/>
          <w:szCs w:val="32"/>
        </w:rPr>
        <w:t>四、主要试验（验证）情况、关键指标来源</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（一）主要试验（验证）情况和关键指标来源</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种羊场重点疫病净化技术规范（征求意见稿）》遵循标准起草程序，经由广西动物疫病预防控制中心、广西壮族自治区水牛研究所和广西壮族自治区畜禽品种改良站等进行了应用试验，在实际应用中不断总结经验并优化改进，形成一套完善、成熟的种羊重点疫病净化技术规范。其中主要试验（验证）情况及关键指标来源如下：</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（1）以生物安全控制为主的标准条款体系</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《种羊场重点疫病净化技术规范标准（征求意见稿）》中对种羊</w:t>
      </w:r>
      <w:r>
        <w:rPr>
          <w:rFonts w:asciiTheme="minorEastAsia" w:hAnsiTheme="minorEastAsia" w:hint="eastAsia"/>
          <w:sz w:val="28"/>
          <w:szCs w:val="28"/>
        </w:rPr>
        <w:lastRenderedPageBreak/>
        <w:t>场布局与设置、管理（卫生与环保、无害化处理、消毒、生产管理、防疫管理、种源管理、人员配备及管理）等提出要求，旨在防止病原体从外部传入、在内部传播和从内部传出场外，是以生物安全控制为基础主导思想的标准。</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1、布局与设置部分条款来源</w:t>
      </w:r>
    </w:p>
    <w:p w:rsidR="00B55EBF" w:rsidRDefault="00EB4287">
      <w:pPr>
        <w:autoSpaceDE w:val="0"/>
        <w:autoSpaceDN w:val="0"/>
        <w:adjustRightInd w:val="0"/>
        <w:ind w:firstLineChars="200" w:firstLine="560"/>
        <w:jc w:val="left"/>
        <w:rPr>
          <w:rFonts w:asciiTheme="minorEastAsia" w:hAnsiTheme="minorEastAsia"/>
          <w:sz w:val="28"/>
          <w:szCs w:val="28"/>
        </w:rPr>
      </w:pPr>
      <w:r>
        <w:rPr>
          <w:rFonts w:asciiTheme="minorEastAsia" w:hAnsiTheme="minorEastAsia" w:hint="eastAsia"/>
          <w:sz w:val="28"/>
          <w:szCs w:val="28"/>
        </w:rPr>
        <w:t>首先，按照最新的《动物防疫条件审查办法》（中华人民共和国农业农村部令[2022]第8号）和</w:t>
      </w:r>
      <w:r w:rsidRPr="00BB0C8E">
        <w:rPr>
          <w:rFonts w:asciiTheme="minorEastAsia" w:hAnsiTheme="minorEastAsia" w:hint="eastAsia"/>
          <w:sz w:val="28"/>
          <w:szCs w:val="28"/>
        </w:rPr>
        <w:t>广西目前现行的动物防疫审查条件要求，本标准规定场区需设置有效的隔离屏障和防外界动物措施，并对入口的消毒池尺寸进行了具体规定:池深0.3米以上可保证轮胎浸入消毒液足够深，长度大于或等于4米可保证车辆的所有轮胎外表面都能在消毒液内旋转1周以上，能够起到阻止外界病原通过生物媒介、车辆等传入种羊场内的作用，是种羊场生物安全的重要举措。其次，依据NY/T388畜禽场环境质量标准、NY/T1167</w:t>
      </w:r>
      <w:r w:rsidRPr="00BB0C8E">
        <w:rPr>
          <w:rFonts w:asciiTheme="minorEastAsia" w:hAnsiTheme="minorEastAsia"/>
          <w:sz w:val="28"/>
          <w:szCs w:val="28"/>
        </w:rPr>
        <w:t xml:space="preserve"> </w:t>
      </w:r>
      <w:r w:rsidRPr="00BB0C8E">
        <w:rPr>
          <w:rFonts w:asciiTheme="minorEastAsia" w:hAnsiTheme="minorEastAsia" w:hint="eastAsia"/>
          <w:sz w:val="28"/>
          <w:szCs w:val="28"/>
        </w:rPr>
        <w:t>畜</w:t>
      </w:r>
      <w:r>
        <w:rPr>
          <w:rFonts w:asciiTheme="minorEastAsia" w:hAnsiTheme="minorEastAsia" w:hint="eastAsia"/>
          <w:sz w:val="28"/>
          <w:szCs w:val="28"/>
        </w:rPr>
        <w:t>禽场环境质量及卫生控制规范和农业农村部颁布的《病死及病害动物无害化处理技术规范》要求，本标准对种羊场内生活区、隔离</w:t>
      </w:r>
      <w:proofErr w:type="gramStart"/>
      <w:r>
        <w:rPr>
          <w:rFonts w:asciiTheme="minorEastAsia" w:hAnsiTheme="minorEastAsia" w:hint="eastAsia"/>
          <w:sz w:val="28"/>
          <w:szCs w:val="28"/>
        </w:rPr>
        <w:t>饲养区</w:t>
      </w:r>
      <w:proofErr w:type="gramEnd"/>
      <w:r>
        <w:rPr>
          <w:rFonts w:asciiTheme="minorEastAsia" w:hAnsiTheme="minorEastAsia" w:hint="eastAsia"/>
          <w:sz w:val="28"/>
          <w:szCs w:val="28"/>
        </w:rPr>
        <w:t>与正常生产区之间的距离设置为50米以上，将隔离区、粪污处理区和无害化处理区设置在生产区的下风向，并单独设置净道和</w:t>
      </w:r>
      <w:proofErr w:type="gramStart"/>
      <w:r>
        <w:rPr>
          <w:rFonts w:asciiTheme="minorEastAsia" w:hAnsiTheme="minorEastAsia" w:hint="eastAsia"/>
          <w:sz w:val="28"/>
          <w:szCs w:val="28"/>
        </w:rPr>
        <w:t>污道</w:t>
      </w:r>
      <w:proofErr w:type="gramEnd"/>
      <w:r>
        <w:rPr>
          <w:rFonts w:asciiTheme="minorEastAsia" w:hAnsiTheme="minorEastAsia" w:hint="eastAsia"/>
          <w:sz w:val="28"/>
          <w:szCs w:val="28"/>
        </w:rPr>
        <w:t>，将低风险区域与高风险区隔离至有效距离，能够降低疫病在场内传播的风险。</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2、管理部分条款来源</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在种源管理部分中，本标准对引种来源、羊群健康状况、引种或销售时所需提供的检测报告（特别是检测项目）细化规定，目的是阻断引种时可能带来的疫病隐患，同时也是阻碍场内潜在疫病向场外传</w:t>
      </w:r>
      <w:r>
        <w:rPr>
          <w:rFonts w:asciiTheme="minorEastAsia" w:hAnsiTheme="minorEastAsia" w:hint="eastAsia"/>
          <w:sz w:val="28"/>
          <w:szCs w:val="28"/>
        </w:rPr>
        <w:lastRenderedPageBreak/>
        <w:t>播生物安全举措。</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（2）净化程序条款的确定</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1、口蹄疫净化程序条款的确定</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目前广西区内种羊场对口蹄疫采取免疫控制的办法，通过血清学和病原学方法对免疫效果进行监测和评价。2017年至2022年，广西区内种羊场的O型口蹄疫抗体免疫合格率分别为69.91%、74.62%、81.29%、85.41%、87.86%和85.51%（表1），采集O-P液检测病毒抗原监测个体感染率均为0%。</w:t>
      </w:r>
      <w:r w:rsidR="0018702F">
        <w:rPr>
          <w:rFonts w:asciiTheme="minorEastAsia" w:hAnsiTheme="minorEastAsia" w:hint="eastAsia"/>
          <w:sz w:val="28"/>
          <w:szCs w:val="28"/>
        </w:rPr>
        <w:t>自2019年后,区内种羊场中O型口蹄疫的抗体合格率平均在80%以上,因此</w:t>
      </w:r>
      <w:r w:rsidR="0018702F">
        <w:rPr>
          <w:rFonts w:asciiTheme="minorEastAsia" w:hAnsiTheme="minorEastAsia" w:hint="eastAsia"/>
          <w:color w:val="FF0000"/>
          <w:sz w:val="28"/>
          <w:szCs w:val="28"/>
        </w:rPr>
        <w:t>认为75%是科学免疫</w:t>
      </w:r>
      <w:r>
        <w:rPr>
          <w:rFonts w:asciiTheme="minorEastAsia" w:hAnsiTheme="minorEastAsia" w:hint="eastAsia"/>
          <w:color w:val="FF0000"/>
          <w:sz w:val="28"/>
          <w:szCs w:val="28"/>
        </w:rPr>
        <w:t>O型口蹄疫</w:t>
      </w:r>
      <w:r w:rsidR="0018702F">
        <w:rPr>
          <w:rFonts w:asciiTheme="minorEastAsia" w:hAnsiTheme="minorEastAsia" w:hint="eastAsia"/>
          <w:color w:val="FF0000"/>
          <w:sz w:val="28"/>
          <w:szCs w:val="28"/>
        </w:rPr>
        <w:t>的种羊场能够达到的</w:t>
      </w:r>
      <w:r>
        <w:rPr>
          <w:rFonts w:asciiTheme="minorEastAsia" w:hAnsiTheme="minorEastAsia" w:hint="eastAsia"/>
          <w:color w:val="FF0000"/>
          <w:sz w:val="28"/>
          <w:szCs w:val="28"/>
        </w:rPr>
        <w:t>合格标准。</w:t>
      </w:r>
      <w:r w:rsidRPr="00BB0C8E">
        <w:rPr>
          <w:rFonts w:asciiTheme="minorEastAsia" w:hAnsiTheme="minorEastAsia" w:hint="eastAsia"/>
          <w:sz w:val="28"/>
          <w:szCs w:val="28"/>
        </w:rPr>
        <w:t>连续12个月以上采集样品，监测场内动物的感染抗体和个体感染性，对场内动物健康状况实施1年以上动态持续的监控，将有利于该病的免疫控制。同</w:t>
      </w:r>
      <w:r>
        <w:rPr>
          <w:rFonts w:asciiTheme="minorEastAsia" w:hAnsiTheme="minorEastAsia" w:hint="eastAsia"/>
          <w:sz w:val="28"/>
          <w:szCs w:val="28"/>
        </w:rPr>
        <w:t>时，鉴于非结构蛋白表位缺失灭活疫苗在鉴别免疫动物和感染动物上的良好效果，本标准推荐使用口蹄疫非结构蛋白表位缺失灭活疫苗开展免疫，辅以相应的鉴别诊断试剂盒。</w:t>
      </w:r>
    </w:p>
    <w:tbl>
      <w:tblPr>
        <w:tblW w:w="7340" w:type="dxa"/>
        <w:jc w:val="center"/>
        <w:tblLook w:val="04A0"/>
      </w:tblPr>
      <w:tblGrid>
        <w:gridCol w:w="1187"/>
        <w:gridCol w:w="1450"/>
        <w:gridCol w:w="1099"/>
        <w:gridCol w:w="1802"/>
        <w:gridCol w:w="1802"/>
      </w:tblGrid>
      <w:tr w:rsidR="00B55EBF">
        <w:trPr>
          <w:trHeight w:val="870"/>
          <w:jc w:val="center"/>
        </w:trPr>
        <w:tc>
          <w:tcPr>
            <w:tcW w:w="7340" w:type="dxa"/>
            <w:gridSpan w:val="5"/>
            <w:tcBorders>
              <w:top w:val="nil"/>
              <w:left w:val="nil"/>
              <w:bottom w:val="single" w:sz="4" w:space="0" w:color="auto"/>
              <w:right w:val="nil"/>
            </w:tcBorders>
            <w:shd w:val="clear" w:color="auto" w:fill="auto"/>
            <w:noWrap/>
            <w:vAlign w:val="center"/>
          </w:tcPr>
          <w:p w:rsidR="00B55EBF" w:rsidRDefault="00EB4287">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表1  2017-2022年广西壮族自治区部分种羊场O型口蹄疫免疫抗体监测结果</w:t>
            </w:r>
          </w:p>
        </w:tc>
      </w:tr>
      <w:tr w:rsidR="00B55EBF">
        <w:trPr>
          <w:trHeight w:val="454"/>
          <w:jc w:val="center"/>
        </w:trPr>
        <w:tc>
          <w:tcPr>
            <w:tcW w:w="1187" w:type="dxa"/>
            <w:vMerge w:val="restart"/>
            <w:tcBorders>
              <w:top w:val="nil"/>
              <w:left w:val="nil"/>
              <w:bottom w:val="single" w:sz="4" w:space="0" w:color="000000"/>
              <w:right w:val="nil"/>
            </w:tcBorders>
            <w:shd w:val="clear" w:color="000000" w:fill="FFFFFF"/>
            <w:noWrap/>
            <w:vAlign w:val="center"/>
          </w:tcPr>
          <w:p w:rsidR="00B55EBF" w:rsidRDefault="00EB4287">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年份</w:t>
            </w:r>
          </w:p>
        </w:tc>
        <w:tc>
          <w:tcPr>
            <w:tcW w:w="1450" w:type="dxa"/>
            <w:vMerge w:val="restart"/>
            <w:tcBorders>
              <w:top w:val="nil"/>
              <w:left w:val="nil"/>
              <w:bottom w:val="single" w:sz="4" w:space="0" w:color="000000"/>
              <w:right w:val="nil"/>
            </w:tcBorders>
            <w:shd w:val="clear" w:color="000000" w:fill="FFFFFF"/>
            <w:noWrap/>
            <w:vAlign w:val="center"/>
          </w:tcPr>
          <w:p w:rsidR="00B55EBF" w:rsidRDefault="00EB4287">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场点数量</w:t>
            </w:r>
          </w:p>
        </w:tc>
        <w:tc>
          <w:tcPr>
            <w:tcW w:w="1099" w:type="dxa"/>
            <w:vMerge w:val="restart"/>
            <w:tcBorders>
              <w:top w:val="nil"/>
              <w:left w:val="nil"/>
              <w:bottom w:val="single" w:sz="4" w:space="0" w:color="000000"/>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样品数</w:t>
            </w:r>
          </w:p>
        </w:tc>
        <w:tc>
          <w:tcPr>
            <w:tcW w:w="1802" w:type="dxa"/>
            <w:vMerge w:val="restart"/>
            <w:tcBorders>
              <w:top w:val="nil"/>
              <w:left w:val="nil"/>
              <w:bottom w:val="single" w:sz="4" w:space="0" w:color="000000"/>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个体合格数</w:t>
            </w:r>
          </w:p>
        </w:tc>
        <w:tc>
          <w:tcPr>
            <w:tcW w:w="1802" w:type="dxa"/>
            <w:vMerge w:val="restart"/>
            <w:tcBorders>
              <w:top w:val="nil"/>
              <w:left w:val="nil"/>
              <w:bottom w:val="single" w:sz="4" w:space="0" w:color="000000"/>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个体合格率</w:t>
            </w:r>
          </w:p>
        </w:tc>
      </w:tr>
      <w:tr w:rsidR="00B55EBF">
        <w:trPr>
          <w:trHeight w:val="312"/>
          <w:jc w:val="center"/>
        </w:trPr>
        <w:tc>
          <w:tcPr>
            <w:tcW w:w="1187" w:type="dxa"/>
            <w:vMerge/>
            <w:tcBorders>
              <w:top w:val="nil"/>
              <w:left w:val="nil"/>
              <w:bottom w:val="single" w:sz="4" w:space="0" w:color="000000"/>
              <w:right w:val="nil"/>
            </w:tcBorders>
            <w:vAlign w:val="center"/>
          </w:tcPr>
          <w:p w:rsidR="00B55EBF" w:rsidRDefault="00B55EBF">
            <w:pPr>
              <w:widowControl/>
              <w:jc w:val="left"/>
              <w:rPr>
                <w:rFonts w:ascii="宋体" w:eastAsia="宋体" w:hAnsi="宋体" w:cs="宋体"/>
                <w:color w:val="000000"/>
                <w:kern w:val="0"/>
                <w:sz w:val="20"/>
                <w:szCs w:val="20"/>
              </w:rPr>
            </w:pPr>
          </w:p>
        </w:tc>
        <w:tc>
          <w:tcPr>
            <w:tcW w:w="1450" w:type="dxa"/>
            <w:vMerge/>
            <w:tcBorders>
              <w:top w:val="nil"/>
              <w:left w:val="nil"/>
              <w:bottom w:val="single" w:sz="4" w:space="0" w:color="000000"/>
              <w:right w:val="nil"/>
            </w:tcBorders>
            <w:vAlign w:val="center"/>
          </w:tcPr>
          <w:p w:rsidR="00B55EBF" w:rsidRDefault="00B55EBF">
            <w:pPr>
              <w:widowControl/>
              <w:jc w:val="left"/>
              <w:rPr>
                <w:rFonts w:ascii="宋体" w:eastAsia="宋体" w:hAnsi="宋体" w:cs="宋体"/>
                <w:color w:val="000000"/>
                <w:kern w:val="0"/>
                <w:sz w:val="20"/>
                <w:szCs w:val="20"/>
              </w:rPr>
            </w:pPr>
          </w:p>
        </w:tc>
        <w:tc>
          <w:tcPr>
            <w:tcW w:w="1099" w:type="dxa"/>
            <w:vMerge/>
            <w:tcBorders>
              <w:top w:val="nil"/>
              <w:left w:val="nil"/>
              <w:bottom w:val="single" w:sz="4" w:space="0" w:color="000000"/>
              <w:right w:val="nil"/>
            </w:tcBorders>
            <w:vAlign w:val="center"/>
          </w:tcPr>
          <w:p w:rsidR="00B55EBF" w:rsidRDefault="00B55EBF">
            <w:pPr>
              <w:widowControl/>
              <w:jc w:val="left"/>
              <w:rPr>
                <w:rFonts w:ascii="Times New Roman" w:eastAsia="宋体" w:hAnsi="Times New Roman" w:cs="Times New Roman"/>
                <w:color w:val="000000"/>
                <w:kern w:val="0"/>
                <w:sz w:val="20"/>
                <w:szCs w:val="20"/>
              </w:rPr>
            </w:pPr>
          </w:p>
        </w:tc>
        <w:tc>
          <w:tcPr>
            <w:tcW w:w="1802" w:type="dxa"/>
            <w:vMerge/>
            <w:tcBorders>
              <w:top w:val="nil"/>
              <w:left w:val="nil"/>
              <w:bottom w:val="single" w:sz="4" w:space="0" w:color="000000"/>
              <w:right w:val="nil"/>
            </w:tcBorders>
            <w:vAlign w:val="center"/>
          </w:tcPr>
          <w:p w:rsidR="00B55EBF" w:rsidRDefault="00B55EBF">
            <w:pPr>
              <w:widowControl/>
              <w:jc w:val="left"/>
              <w:rPr>
                <w:rFonts w:ascii="Times New Roman" w:eastAsia="宋体" w:hAnsi="Times New Roman" w:cs="Times New Roman"/>
                <w:color w:val="000000"/>
                <w:kern w:val="0"/>
                <w:sz w:val="20"/>
                <w:szCs w:val="20"/>
              </w:rPr>
            </w:pPr>
          </w:p>
        </w:tc>
        <w:tc>
          <w:tcPr>
            <w:tcW w:w="1802" w:type="dxa"/>
            <w:vMerge/>
            <w:tcBorders>
              <w:top w:val="nil"/>
              <w:left w:val="nil"/>
              <w:bottom w:val="single" w:sz="4" w:space="0" w:color="000000"/>
              <w:right w:val="nil"/>
            </w:tcBorders>
            <w:vAlign w:val="center"/>
          </w:tcPr>
          <w:p w:rsidR="00B55EBF" w:rsidRDefault="00B55EBF">
            <w:pPr>
              <w:widowControl/>
              <w:jc w:val="left"/>
              <w:rPr>
                <w:rFonts w:ascii="Times New Roman" w:eastAsia="宋体" w:hAnsi="Times New Roman" w:cs="Times New Roman"/>
                <w:color w:val="000000"/>
                <w:kern w:val="0"/>
                <w:sz w:val="20"/>
                <w:szCs w:val="20"/>
              </w:rPr>
            </w:pPr>
          </w:p>
        </w:tc>
      </w:tr>
      <w:tr w:rsidR="00B55EBF">
        <w:trPr>
          <w:trHeight w:val="447"/>
          <w:jc w:val="center"/>
        </w:trPr>
        <w:tc>
          <w:tcPr>
            <w:tcW w:w="1187"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2017</w:t>
            </w:r>
            <w:r>
              <w:rPr>
                <w:rFonts w:ascii="Times New Roman" w:eastAsia="宋体" w:hAnsi="Times New Roman" w:cs="Times New Roman"/>
                <w:color w:val="000000"/>
                <w:kern w:val="0"/>
                <w:sz w:val="20"/>
                <w:szCs w:val="20"/>
              </w:rPr>
              <w:t>年</w:t>
            </w:r>
          </w:p>
        </w:tc>
        <w:tc>
          <w:tcPr>
            <w:tcW w:w="1450"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39</w:t>
            </w:r>
          </w:p>
        </w:tc>
        <w:tc>
          <w:tcPr>
            <w:tcW w:w="1099"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1213</w:t>
            </w:r>
          </w:p>
        </w:tc>
        <w:tc>
          <w:tcPr>
            <w:tcW w:w="1802"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848</w:t>
            </w:r>
          </w:p>
        </w:tc>
        <w:tc>
          <w:tcPr>
            <w:tcW w:w="1802"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69.91</w:t>
            </w:r>
          </w:p>
        </w:tc>
      </w:tr>
      <w:tr w:rsidR="00B55EBF">
        <w:trPr>
          <w:trHeight w:val="447"/>
          <w:jc w:val="center"/>
        </w:trPr>
        <w:tc>
          <w:tcPr>
            <w:tcW w:w="1187"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2018</w:t>
            </w:r>
            <w:r>
              <w:rPr>
                <w:rFonts w:ascii="Times New Roman" w:eastAsia="宋体" w:hAnsi="Times New Roman" w:cs="Times New Roman"/>
                <w:color w:val="000000"/>
                <w:kern w:val="0"/>
                <w:sz w:val="20"/>
                <w:szCs w:val="20"/>
              </w:rPr>
              <w:t>年</w:t>
            </w:r>
          </w:p>
        </w:tc>
        <w:tc>
          <w:tcPr>
            <w:tcW w:w="1450"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35</w:t>
            </w:r>
          </w:p>
        </w:tc>
        <w:tc>
          <w:tcPr>
            <w:tcW w:w="1099"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784</w:t>
            </w:r>
          </w:p>
        </w:tc>
        <w:tc>
          <w:tcPr>
            <w:tcW w:w="1802"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585</w:t>
            </w:r>
          </w:p>
        </w:tc>
        <w:tc>
          <w:tcPr>
            <w:tcW w:w="1802"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74.62</w:t>
            </w:r>
          </w:p>
        </w:tc>
      </w:tr>
      <w:tr w:rsidR="00B55EBF">
        <w:trPr>
          <w:trHeight w:val="447"/>
          <w:jc w:val="center"/>
        </w:trPr>
        <w:tc>
          <w:tcPr>
            <w:tcW w:w="1187"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2019</w:t>
            </w:r>
            <w:r>
              <w:rPr>
                <w:rFonts w:ascii="Times New Roman" w:eastAsia="宋体" w:hAnsi="Times New Roman" w:cs="Times New Roman"/>
                <w:color w:val="000000"/>
                <w:kern w:val="0"/>
                <w:sz w:val="20"/>
                <w:szCs w:val="20"/>
              </w:rPr>
              <w:t>年</w:t>
            </w:r>
          </w:p>
        </w:tc>
        <w:tc>
          <w:tcPr>
            <w:tcW w:w="1450"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20</w:t>
            </w:r>
          </w:p>
        </w:tc>
        <w:tc>
          <w:tcPr>
            <w:tcW w:w="1099"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989</w:t>
            </w:r>
          </w:p>
        </w:tc>
        <w:tc>
          <w:tcPr>
            <w:tcW w:w="1802"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804</w:t>
            </w:r>
          </w:p>
        </w:tc>
        <w:tc>
          <w:tcPr>
            <w:tcW w:w="1802"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81.29</w:t>
            </w:r>
          </w:p>
        </w:tc>
      </w:tr>
      <w:tr w:rsidR="00B55EBF">
        <w:trPr>
          <w:trHeight w:val="447"/>
          <w:jc w:val="center"/>
        </w:trPr>
        <w:tc>
          <w:tcPr>
            <w:tcW w:w="1187"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2020</w:t>
            </w:r>
            <w:r>
              <w:rPr>
                <w:rFonts w:ascii="Times New Roman" w:eastAsia="宋体" w:hAnsi="Times New Roman" w:cs="Times New Roman"/>
                <w:color w:val="000000"/>
                <w:kern w:val="0"/>
                <w:sz w:val="20"/>
                <w:szCs w:val="20"/>
              </w:rPr>
              <w:t>年</w:t>
            </w:r>
          </w:p>
        </w:tc>
        <w:tc>
          <w:tcPr>
            <w:tcW w:w="1450"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14</w:t>
            </w:r>
          </w:p>
        </w:tc>
        <w:tc>
          <w:tcPr>
            <w:tcW w:w="1099"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843</w:t>
            </w:r>
          </w:p>
        </w:tc>
        <w:tc>
          <w:tcPr>
            <w:tcW w:w="1802"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720</w:t>
            </w:r>
          </w:p>
        </w:tc>
        <w:tc>
          <w:tcPr>
            <w:tcW w:w="1802"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85.41</w:t>
            </w:r>
          </w:p>
        </w:tc>
      </w:tr>
      <w:tr w:rsidR="00B55EBF">
        <w:trPr>
          <w:trHeight w:val="447"/>
          <w:jc w:val="center"/>
        </w:trPr>
        <w:tc>
          <w:tcPr>
            <w:tcW w:w="1187"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2021</w:t>
            </w:r>
            <w:r>
              <w:rPr>
                <w:rFonts w:ascii="Times New Roman" w:eastAsia="宋体" w:hAnsi="Times New Roman" w:cs="Times New Roman"/>
                <w:color w:val="000000"/>
                <w:kern w:val="0"/>
                <w:sz w:val="20"/>
                <w:szCs w:val="20"/>
              </w:rPr>
              <w:t>年</w:t>
            </w:r>
          </w:p>
        </w:tc>
        <w:tc>
          <w:tcPr>
            <w:tcW w:w="1450"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12</w:t>
            </w:r>
          </w:p>
        </w:tc>
        <w:tc>
          <w:tcPr>
            <w:tcW w:w="1099"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1269</w:t>
            </w:r>
          </w:p>
        </w:tc>
        <w:tc>
          <w:tcPr>
            <w:tcW w:w="1802"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1115</w:t>
            </w:r>
          </w:p>
        </w:tc>
        <w:tc>
          <w:tcPr>
            <w:tcW w:w="1802" w:type="dxa"/>
            <w:tcBorders>
              <w:top w:val="nil"/>
              <w:left w:val="nil"/>
              <w:bottom w:val="nil"/>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87.86</w:t>
            </w:r>
          </w:p>
        </w:tc>
      </w:tr>
      <w:tr w:rsidR="00B55EBF">
        <w:trPr>
          <w:trHeight w:val="447"/>
          <w:jc w:val="center"/>
        </w:trPr>
        <w:tc>
          <w:tcPr>
            <w:tcW w:w="1187" w:type="dxa"/>
            <w:tcBorders>
              <w:top w:val="nil"/>
              <w:left w:val="nil"/>
              <w:bottom w:val="single" w:sz="4" w:space="0" w:color="auto"/>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2022</w:t>
            </w:r>
            <w:r>
              <w:rPr>
                <w:rFonts w:ascii="Times New Roman" w:eastAsia="宋体" w:hAnsi="Times New Roman" w:cs="Times New Roman"/>
                <w:color w:val="000000"/>
                <w:kern w:val="0"/>
                <w:sz w:val="20"/>
                <w:szCs w:val="20"/>
              </w:rPr>
              <w:t>年</w:t>
            </w:r>
          </w:p>
        </w:tc>
        <w:tc>
          <w:tcPr>
            <w:tcW w:w="1450" w:type="dxa"/>
            <w:tcBorders>
              <w:top w:val="nil"/>
              <w:left w:val="nil"/>
              <w:bottom w:val="single" w:sz="4" w:space="0" w:color="auto"/>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12</w:t>
            </w:r>
          </w:p>
        </w:tc>
        <w:tc>
          <w:tcPr>
            <w:tcW w:w="1099" w:type="dxa"/>
            <w:tcBorders>
              <w:top w:val="nil"/>
              <w:left w:val="nil"/>
              <w:bottom w:val="single" w:sz="4" w:space="0" w:color="auto"/>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709</w:t>
            </w:r>
          </w:p>
        </w:tc>
        <w:tc>
          <w:tcPr>
            <w:tcW w:w="1802" w:type="dxa"/>
            <w:tcBorders>
              <w:top w:val="nil"/>
              <w:left w:val="nil"/>
              <w:bottom w:val="single" w:sz="4" w:space="0" w:color="auto"/>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603</w:t>
            </w:r>
          </w:p>
        </w:tc>
        <w:tc>
          <w:tcPr>
            <w:tcW w:w="1802" w:type="dxa"/>
            <w:tcBorders>
              <w:top w:val="nil"/>
              <w:left w:val="nil"/>
              <w:bottom w:val="single" w:sz="4" w:space="0" w:color="auto"/>
              <w:right w:val="nil"/>
            </w:tcBorders>
            <w:shd w:val="clear" w:color="000000" w:fill="FFFFFF"/>
            <w:noWrap/>
            <w:vAlign w:val="center"/>
          </w:tcPr>
          <w:p w:rsidR="00B55EBF" w:rsidRDefault="00EB4287">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85.05</w:t>
            </w:r>
          </w:p>
        </w:tc>
      </w:tr>
    </w:tbl>
    <w:p w:rsidR="00B55EBF" w:rsidRDefault="00B55EBF">
      <w:pPr>
        <w:spacing w:line="360" w:lineRule="auto"/>
        <w:ind w:firstLineChars="200" w:firstLine="560"/>
        <w:rPr>
          <w:rFonts w:asciiTheme="minorEastAsia" w:hAnsiTheme="minorEastAsia"/>
          <w:color w:val="FF0000"/>
          <w:sz w:val="28"/>
          <w:szCs w:val="28"/>
        </w:rPr>
      </w:pP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2、布鲁氏菌病净化程序条款的确定</w:t>
      </w:r>
    </w:p>
    <w:p w:rsidR="00B55EBF" w:rsidRPr="00BB0C8E" w:rsidRDefault="00EB4287">
      <w:pPr>
        <w:spacing w:line="360" w:lineRule="auto"/>
        <w:ind w:firstLineChars="200" w:firstLine="560"/>
        <w:rPr>
          <w:rFonts w:asciiTheme="minorEastAsia" w:hAnsiTheme="minorEastAsia"/>
          <w:sz w:val="28"/>
          <w:szCs w:val="28"/>
        </w:rPr>
      </w:pPr>
      <w:r w:rsidRPr="00BB0C8E">
        <w:rPr>
          <w:rFonts w:asciiTheme="minorEastAsia" w:hAnsiTheme="minorEastAsia" w:hint="eastAsia"/>
          <w:sz w:val="28"/>
          <w:szCs w:val="28"/>
        </w:rPr>
        <w:t>目前，羊群能够使用的商品化布鲁氏菌疫苗基本均为减毒活疫苗，部分疫苗会在羊群中造成持续的菌血症,在阴道分泌物和</w:t>
      </w:r>
      <w:proofErr w:type="gramStart"/>
      <w:r w:rsidRPr="00BB0C8E">
        <w:rPr>
          <w:rFonts w:asciiTheme="minorEastAsia" w:hAnsiTheme="minorEastAsia" w:hint="eastAsia"/>
          <w:sz w:val="28"/>
          <w:szCs w:val="28"/>
        </w:rPr>
        <w:t>泌</w:t>
      </w:r>
      <w:proofErr w:type="gramEnd"/>
      <w:r w:rsidRPr="00BB0C8E">
        <w:rPr>
          <w:rFonts w:asciiTheme="minorEastAsia" w:hAnsiTheme="minorEastAsia" w:hint="eastAsia"/>
          <w:sz w:val="28"/>
          <w:szCs w:val="28"/>
        </w:rPr>
        <w:t>乳</w:t>
      </w:r>
      <w:bookmarkStart w:id="0" w:name="_GoBack"/>
      <w:bookmarkEnd w:id="0"/>
      <w:r w:rsidRPr="00BB0C8E">
        <w:rPr>
          <w:rFonts w:asciiTheme="minorEastAsia" w:hAnsiTheme="minorEastAsia" w:hint="eastAsia"/>
          <w:sz w:val="28"/>
          <w:szCs w:val="28"/>
        </w:rPr>
        <w:t>羊的奶中也能检测到布鲁氏菌,在动物间传播的能力较强；部分疫苗可能通过受损皮肤和污染的灰尘引起人的感染,且毒力较高,有潜在的致病性，使从业人员的感染风险陡增。与部分北方省份不同，广西目前仍未对羊群开展布鲁氏菌疫苗免疫，自2017年开始在部分羊场应用“监测-净化”的防控策略。部分种羊场的监测数据表明，除2017年检测出阳性动物外，2018-2022年均未检出布鲁氏菌病阳性，说明对羊群采取监测净化效果显著（表2）。因此，本标准的布鲁氏菌病净化程序规定，在监测净化时，对成年羊进行100%采样监测，目的是扩大监测覆盖面；将布鲁氏菌病抗体和/或病原阳性的动物视为监测阳性，要求立即扑杀并进行无害化处理，降低场内动物感染布鲁氏菌的风险，对于羊场的布鲁氏菌病净化是切实有效的。</w:t>
      </w:r>
    </w:p>
    <w:tbl>
      <w:tblPr>
        <w:tblW w:w="8897" w:type="dxa"/>
        <w:tblLook w:val="04A0"/>
      </w:tblPr>
      <w:tblGrid>
        <w:gridCol w:w="873"/>
        <w:gridCol w:w="702"/>
        <w:gridCol w:w="943"/>
        <w:gridCol w:w="1183"/>
        <w:gridCol w:w="1227"/>
        <w:gridCol w:w="1417"/>
        <w:gridCol w:w="1276"/>
        <w:gridCol w:w="1276"/>
      </w:tblGrid>
      <w:tr w:rsidR="00B55EBF" w:rsidRPr="00BB0C8E">
        <w:trPr>
          <w:trHeight w:val="270"/>
        </w:trPr>
        <w:tc>
          <w:tcPr>
            <w:tcW w:w="8897" w:type="dxa"/>
            <w:gridSpan w:val="8"/>
            <w:tcBorders>
              <w:top w:val="nil"/>
              <w:left w:val="nil"/>
              <w:bottom w:val="single" w:sz="4" w:space="0" w:color="000000"/>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表2  2017-2022年广西壮族自治区部分种羊场布鲁氏菌病抗体监测结果</w:t>
            </w:r>
          </w:p>
        </w:tc>
      </w:tr>
      <w:tr w:rsidR="00B55EBF" w:rsidRPr="00BB0C8E">
        <w:trPr>
          <w:trHeight w:val="687"/>
        </w:trPr>
        <w:tc>
          <w:tcPr>
            <w:tcW w:w="873"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年份</w:t>
            </w:r>
          </w:p>
        </w:tc>
        <w:tc>
          <w:tcPr>
            <w:tcW w:w="702"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hint="eastAsia"/>
                <w:kern w:val="0"/>
                <w:sz w:val="20"/>
                <w:szCs w:val="20"/>
              </w:rPr>
              <w:t>场点</w:t>
            </w:r>
            <w:r w:rsidRPr="00BB0C8E">
              <w:rPr>
                <w:rFonts w:ascii="Times New Roman" w:eastAsia="宋体" w:hAnsi="Times New Roman" w:cs="Times New Roman"/>
                <w:kern w:val="0"/>
                <w:sz w:val="20"/>
                <w:szCs w:val="20"/>
              </w:rPr>
              <w:t>数量</w:t>
            </w:r>
          </w:p>
        </w:tc>
        <w:tc>
          <w:tcPr>
            <w:tcW w:w="943"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样品数</w:t>
            </w:r>
          </w:p>
        </w:tc>
        <w:tc>
          <w:tcPr>
            <w:tcW w:w="1183" w:type="dxa"/>
            <w:tcBorders>
              <w:top w:val="nil"/>
              <w:left w:val="nil"/>
              <w:bottom w:val="single" w:sz="4" w:space="0" w:color="auto"/>
              <w:right w:val="nil"/>
            </w:tcBorders>
            <w:shd w:val="clear" w:color="000000" w:fill="FFFFFF"/>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个体</w:t>
            </w:r>
            <w:proofErr w:type="gramStart"/>
            <w:r w:rsidRPr="00BB0C8E">
              <w:rPr>
                <w:rFonts w:ascii="Times New Roman" w:eastAsia="宋体" w:hAnsi="Times New Roman" w:cs="Times New Roman"/>
                <w:kern w:val="0"/>
                <w:sz w:val="20"/>
                <w:szCs w:val="20"/>
              </w:rPr>
              <w:t>阳性数</w:t>
            </w:r>
            <w:proofErr w:type="gramEnd"/>
          </w:p>
        </w:tc>
        <w:tc>
          <w:tcPr>
            <w:tcW w:w="1227"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个体阳性率</w:t>
            </w:r>
          </w:p>
        </w:tc>
        <w:tc>
          <w:tcPr>
            <w:tcW w:w="1417"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群体样品数</w:t>
            </w:r>
          </w:p>
        </w:tc>
        <w:tc>
          <w:tcPr>
            <w:tcW w:w="1276" w:type="dxa"/>
            <w:tcBorders>
              <w:top w:val="nil"/>
              <w:left w:val="nil"/>
              <w:bottom w:val="single" w:sz="4" w:space="0" w:color="auto"/>
              <w:right w:val="nil"/>
            </w:tcBorders>
            <w:shd w:val="clear" w:color="000000" w:fill="FFFFFF"/>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群体</w:t>
            </w:r>
            <w:proofErr w:type="gramStart"/>
            <w:r w:rsidRPr="00BB0C8E">
              <w:rPr>
                <w:rFonts w:ascii="Times New Roman" w:eastAsia="宋体" w:hAnsi="Times New Roman" w:cs="Times New Roman"/>
                <w:kern w:val="0"/>
                <w:sz w:val="20"/>
                <w:szCs w:val="20"/>
              </w:rPr>
              <w:t>阳性数</w:t>
            </w:r>
            <w:proofErr w:type="gramEnd"/>
          </w:p>
        </w:tc>
        <w:tc>
          <w:tcPr>
            <w:tcW w:w="1276"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群体阳性率</w:t>
            </w:r>
          </w:p>
        </w:tc>
      </w:tr>
      <w:tr w:rsidR="00B55EBF" w:rsidRPr="00BB0C8E">
        <w:trPr>
          <w:trHeight w:val="447"/>
        </w:trPr>
        <w:tc>
          <w:tcPr>
            <w:tcW w:w="873"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2017年</w:t>
            </w:r>
          </w:p>
        </w:tc>
        <w:tc>
          <w:tcPr>
            <w:tcW w:w="702"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85</w:t>
            </w:r>
          </w:p>
        </w:tc>
        <w:tc>
          <w:tcPr>
            <w:tcW w:w="943"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9844</w:t>
            </w:r>
          </w:p>
        </w:tc>
        <w:tc>
          <w:tcPr>
            <w:tcW w:w="1183"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2</w:t>
            </w:r>
          </w:p>
        </w:tc>
        <w:tc>
          <w:tcPr>
            <w:tcW w:w="1227"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0.02</w:t>
            </w:r>
          </w:p>
        </w:tc>
        <w:tc>
          <w:tcPr>
            <w:tcW w:w="1417"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85</w:t>
            </w:r>
          </w:p>
        </w:tc>
        <w:tc>
          <w:tcPr>
            <w:tcW w:w="1276"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1</w:t>
            </w:r>
          </w:p>
        </w:tc>
        <w:tc>
          <w:tcPr>
            <w:tcW w:w="1276"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1.18</w:t>
            </w:r>
          </w:p>
        </w:tc>
      </w:tr>
      <w:tr w:rsidR="00B55EBF" w:rsidRPr="00BB0C8E">
        <w:trPr>
          <w:trHeight w:val="447"/>
        </w:trPr>
        <w:tc>
          <w:tcPr>
            <w:tcW w:w="873"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2018年</w:t>
            </w:r>
          </w:p>
        </w:tc>
        <w:tc>
          <w:tcPr>
            <w:tcW w:w="702"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81</w:t>
            </w:r>
          </w:p>
        </w:tc>
        <w:tc>
          <w:tcPr>
            <w:tcW w:w="943"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7014</w:t>
            </w:r>
          </w:p>
        </w:tc>
        <w:tc>
          <w:tcPr>
            <w:tcW w:w="1183"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w:t>
            </w:r>
          </w:p>
        </w:tc>
        <w:tc>
          <w:tcPr>
            <w:tcW w:w="1227"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0.00</w:t>
            </w:r>
          </w:p>
        </w:tc>
        <w:tc>
          <w:tcPr>
            <w:tcW w:w="1417"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81</w:t>
            </w:r>
          </w:p>
        </w:tc>
        <w:tc>
          <w:tcPr>
            <w:tcW w:w="1276"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0.00</w:t>
            </w:r>
          </w:p>
        </w:tc>
        <w:tc>
          <w:tcPr>
            <w:tcW w:w="1276"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0.00</w:t>
            </w:r>
          </w:p>
        </w:tc>
      </w:tr>
      <w:tr w:rsidR="00B55EBF" w:rsidRPr="00BB0C8E">
        <w:trPr>
          <w:trHeight w:val="447"/>
        </w:trPr>
        <w:tc>
          <w:tcPr>
            <w:tcW w:w="873"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2019年</w:t>
            </w:r>
          </w:p>
        </w:tc>
        <w:tc>
          <w:tcPr>
            <w:tcW w:w="702"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29</w:t>
            </w:r>
          </w:p>
        </w:tc>
        <w:tc>
          <w:tcPr>
            <w:tcW w:w="943"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8104</w:t>
            </w:r>
          </w:p>
        </w:tc>
        <w:tc>
          <w:tcPr>
            <w:tcW w:w="1183"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w:t>
            </w:r>
          </w:p>
        </w:tc>
        <w:tc>
          <w:tcPr>
            <w:tcW w:w="1227"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0.00</w:t>
            </w:r>
          </w:p>
        </w:tc>
        <w:tc>
          <w:tcPr>
            <w:tcW w:w="1417"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29</w:t>
            </w:r>
          </w:p>
        </w:tc>
        <w:tc>
          <w:tcPr>
            <w:tcW w:w="1276"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0.00</w:t>
            </w:r>
          </w:p>
        </w:tc>
        <w:tc>
          <w:tcPr>
            <w:tcW w:w="1276"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0.00</w:t>
            </w:r>
          </w:p>
        </w:tc>
      </w:tr>
      <w:tr w:rsidR="00B55EBF" w:rsidRPr="00BB0C8E">
        <w:trPr>
          <w:trHeight w:val="447"/>
        </w:trPr>
        <w:tc>
          <w:tcPr>
            <w:tcW w:w="873"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2020年</w:t>
            </w:r>
          </w:p>
        </w:tc>
        <w:tc>
          <w:tcPr>
            <w:tcW w:w="702"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12</w:t>
            </w:r>
          </w:p>
        </w:tc>
        <w:tc>
          <w:tcPr>
            <w:tcW w:w="943"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2359</w:t>
            </w:r>
          </w:p>
        </w:tc>
        <w:tc>
          <w:tcPr>
            <w:tcW w:w="1183"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w:t>
            </w:r>
          </w:p>
        </w:tc>
        <w:tc>
          <w:tcPr>
            <w:tcW w:w="1227"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0.00</w:t>
            </w:r>
          </w:p>
        </w:tc>
        <w:tc>
          <w:tcPr>
            <w:tcW w:w="1417"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12</w:t>
            </w:r>
          </w:p>
        </w:tc>
        <w:tc>
          <w:tcPr>
            <w:tcW w:w="1276"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0.00</w:t>
            </w:r>
          </w:p>
        </w:tc>
        <w:tc>
          <w:tcPr>
            <w:tcW w:w="1276"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0.00</w:t>
            </w:r>
          </w:p>
        </w:tc>
      </w:tr>
      <w:tr w:rsidR="00B55EBF" w:rsidRPr="00BB0C8E">
        <w:trPr>
          <w:trHeight w:val="447"/>
        </w:trPr>
        <w:tc>
          <w:tcPr>
            <w:tcW w:w="873"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2021年</w:t>
            </w:r>
          </w:p>
        </w:tc>
        <w:tc>
          <w:tcPr>
            <w:tcW w:w="702"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11</w:t>
            </w:r>
          </w:p>
        </w:tc>
        <w:tc>
          <w:tcPr>
            <w:tcW w:w="943"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1798</w:t>
            </w:r>
          </w:p>
        </w:tc>
        <w:tc>
          <w:tcPr>
            <w:tcW w:w="1183"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w:t>
            </w:r>
          </w:p>
        </w:tc>
        <w:tc>
          <w:tcPr>
            <w:tcW w:w="1227"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0.00</w:t>
            </w:r>
          </w:p>
        </w:tc>
        <w:tc>
          <w:tcPr>
            <w:tcW w:w="1417"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11</w:t>
            </w:r>
          </w:p>
        </w:tc>
        <w:tc>
          <w:tcPr>
            <w:tcW w:w="1276"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0.00</w:t>
            </w:r>
          </w:p>
        </w:tc>
        <w:tc>
          <w:tcPr>
            <w:tcW w:w="1276"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0.00</w:t>
            </w:r>
          </w:p>
        </w:tc>
      </w:tr>
      <w:tr w:rsidR="00B55EBF" w:rsidRPr="00BB0C8E">
        <w:trPr>
          <w:trHeight w:val="447"/>
        </w:trPr>
        <w:tc>
          <w:tcPr>
            <w:tcW w:w="873"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2022年</w:t>
            </w:r>
          </w:p>
        </w:tc>
        <w:tc>
          <w:tcPr>
            <w:tcW w:w="702"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31</w:t>
            </w:r>
          </w:p>
        </w:tc>
        <w:tc>
          <w:tcPr>
            <w:tcW w:w="943"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2690</w:t>
            </w:r>
          </w:p>
        </w:tc>
        <w:tc>
          <w:tcPr>
            <w:tcW w:w="1183"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w:t>
            </w:r>
          </w:p>
        </w:tc>
        <w:tc>
          <w:tcPr>
            <w:tcW w:w="1227"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0.00</w:t>
            </w:r>
          </w:p>
        </w:tc>
        <w:tc>
          <w:tcPr>
            <w:tcW w:w="1417"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31</w:t>
            </w:r>
          </w:p>
        </w:tc>
        <w:tc>
          <w:tcPr>
            <w:tcW w:w="1276"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w:t>
            </w:r>
          </w:p>
        </w:tc>
        <w:tc>
          <w:tcPr>
            <w:tcW w:w="1276"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0.00</w:t>
            </w:r>
          </w:p>
        </w:tc>
      </w:tr>
    </w:tbl>
    <w:p w:rsidR="00B55EBF" w:rsidRPr="00BB0C8E" w:rsidRDefault="00EB4287">
      <w:pPr>
        <w:spacing w:line="360" w:lineRule="auto"/>
        <w:ind w:firstLineChars="200" w:firstLine="560"/>
        <w:rPr>
          <w:rFonts w:asciiTheme="minorEastAsia" w:hAnsiTheme="minorEastAsia"/>
          <w:sz w:val="28"/>
          <w:szCs w:val="28"/>
        </w:rPr>
      </w:pPr>
      <w:r w:rsidRPr="00BB0C8E">
        <w:rPr>
          <w:rFonts w:asciiTheme="minorEastAsia" w:hAnsiTheme="minorEastAsia" w:hint="eastAsia"/>
          <w:sz w:val="28"/>
          <w:szCs w:val="28"/>
        </w:rPr>
        <w:t>3、羊痘净化程序条款的确定</w:t>
      </w:r>
    </w:p>
    <w:p w:rsidR="00B55EBF" w:rsidRPr="00BB0C8E" w:rsidRDefault="00EB4287">
      <w:pPr>
        <w:spacing w:line="360" w:lineRule="auto"/>
        <w:ind w:firstLineChars="200" w:firstLine="560"/>
        <w:rPr>
          <w:rFonts w:asciiTheme="minorEastAsia" w:hAnsiTheme="minorEastAsia"/>
          <w:sz w:val="28"/>
          <w:szCs w:val="28"/>
        </w:rPr>
      </w:pPr>
      <w:r w:rsidRPr="00BB0C8E">
        <w:rPr>
          <w:rFonts w:asciiTheme="minorEastAsia" w:hAnsiTheme="minorEastAsia" w:hint="eastAsia"/>
          <w:sz w:val="28"/>
          <w:szCs w:val="28"/>
        </w:rPr>
        <w:lastRenderedPageBreak/>
        <w:t>根据部分种羊</w:t>
      </w:r>
      <w:proofErr w:type="gramStart"/>
      <w:r w:rsidRPr="00BB0C8E">
        <w:rPr>
          <w:rFonts w:asciiTheme="minorEastAsia" w:hAnsiTheme="minorEastAsia" w:hint="eastAsia"/>
          <w:sz w:val="28"/>
          <w:szCs w:val="28"/>
        </w:rPr>
        <w:t>场本身</w:t>
      </w:r>
      <w:proofErr w:type="gramEnd"/>
      <w:r w:rsidRPr="00BB0C8E">
        <w:rPr>
          <w:rFonts w:asciiTheme="minorEastAsia" w:hAnsiTheme="minorEastAsia" w:hint="eastAsia"/>
          <w:sz w:val="28"/>
          <w:szCs w:val="28"/>
        </w:rPr>
        <w:t>的净化条件和建设需求，本标准对羊痘的免疫控制和非免疫控制进行了区分和划定。</w:t>
      </w:r>
    </w:p>
    <w:p w:rsidR="00B55EBF" w:rsidRPr="00BB0C8E" w:rsidRDefault="00EB4287">
      <w:pPr>
        <w:spacing w:line="360" w:lineRule="auto"/>
        <w:ind w:firstLine="570"/>
        <w:rPr>
          <w:rFonts w:asciiTheme="minorEastAsia" w:hAnsiTheme="minorEastAsia"/>
          <w:sz w:val="28"/>
          <w:szCs w:val="28"/>
        </w:rPr>
      </w:pPr>
      <w:proofErr w:type="gramStart"/>
      <w:r w:rsidRPr="00BB0C8E">
        <w:rPr>
          <w:rFonts w:asciiTheme="minorEastAsia" w:hAnsiTheme="minorEastAsia" w:hint="eastAsia"/>
          <w:sz w:val="28"/>
          <w:szCs w:val="28"/>
        </w:rPr>
        <w:t>据数据</w:t>
      </w:r>
      <w:proofErr w:type="gramEnd"/>
      <w:r w:rsidRPr="00BB0C8E">
        <w:rPr>
          <w:rFonts w:asciiTheme="minorEastAsia" w:hAnsiTheme="minorEastAsia" w:hint="eastAsia"/>
          <w:sz w:val="28"/>
          <w:szCs w:val="28"/>
        </w:rPr>
        <w:t>统计，在未做好羊痘疫苗免疫工作的羊场，羊痘免疫抗体阳性率普遍较低，不到30%。选取试点羊场5家，其中3家开展羊痘疫苗免疫，2家羊场</w:t>
      </w:r>
      <w:proofErr w:type="gramStart"/>
      <w:r w:rsidRPr="00BB0C8E">
        <w:rPr>
          <w:rFonts w:asciiTheme="minorEastAsia" w:hAnsiTheme="minorEastAsia" w:hint="eastAsia"/>
          <w:sz w:val="28"/>
          <w:szCs w:val="28"/>
        </w:rPr>
        <w:t>不</w:t>
      </w:r>
      <w:proofErr w:type="gramEnd"/>
      <w:r w:rsidRPr="00BB0C8E">
        <w:rPr>
          <w:rFonts w:asciiTheme="minorEastAsia" w:hAnsiTheme="minorEastAsia" w:hint="eastAsia"/>
          <w:sz w:val="28"/>
          <w:szCs w:val="28"/>
        </w:rPr>
        <w:t>免疫。免疫180天后，在这些羊场采集样品分别进行羊痘免疫抗体检测和病原学检测，结果表明，切实免疫了羊痘疫苗的羊场中免疫抗体均能达到80%以上，免疫覆盖率都是100%，羊只均无临床症状，病原学检测均为阴性（见表3）。因此，本标准对免疫</w:t>
      </w:r>
      <w:proofErr w:type="gramStart"/>
      <w:r w:rsidRPr="00BB0C8E">
        <w:rPr>
          <w:rFonts w:asciiTheme="minorEastAsia" w:hAnsiTheme="minorEastAsia" w:hint="eastAsia"/>
          <w:sz w:val="28"/>
          <w:szCs w:val="28"/>
        </w:rPr>
        <w:t>控制场</w:t>
      </w:r>
      <w:proofErr w:type="gramEnd"/>
      <w:r w:rsidRPr="00BB0C8E">
        <w:rPr>
          <w:rFonts w:asciiTheme="minorEastAsia" w:hAnsiTheme="minorEastAsia" w:hint="eastAsia"/>
          <w:sz w:val="28"/>
          <w:szCs w:val="28"/>
        </w:rPr>
        <w:t>的免疫覆盖率要求为90%是合理的，对非免疫</w:t>
      </w:r>
      <w:proofErr w:type="gramStart"/>
      <w:r w:rsidRPr="00BB0C8E">
        <w:rPr>
          <w:rFonts w:asciiTheme="minorEastAsia" w:hAnsiTheme="minorEastAsia" w:hint="eastAsia"/>
          <w:sz w:val="28"/>
          <w:szCs w:val="28"/>
        </w:rPr>
        <w:t>控制场</w:t>
      </w:r>
      <w:proofErr w:type="gramEnd"/>
      <w:r w:rsidRPr="00BB0C8E">
        <w:rPr>
          <w:rFonts w:asciiTheme="minorEastAsia" w:hAnsiTheme="minorEastAsia" w:hint="eastAsia"/>
          <w:sz w:val="28"/>
          <w:szCs w:val="28"/>
        </w:rPr>
        <w:t>要求“羊群抽检羊痘抗体为阴性”也是可以达到的。</w:t>
      </w:r>
    </w:p>
    <w:tbl>
      <w:tblPr>
        <w:tblW w:w="6580" w:type="dxa"/>
        <w:jc w:val="center"/>
        <w:tblLook w:val="04A0"/>
      </w:tblPr>
      <w:tblGrid>
        <w:gridCol w:w="657"/>
        <w:gridCol w:w="1265"/>
        <w:gridCol w:w="960"/>
        <w:gridCol w:w="1418"/>
        <w:gridCol w:w="222"/>
        <w:gridCol w:w="1265"/>
        <w:gridCol w:w="960"/>
      </w:tblGrid>
      <w:tr w:rsidR="00B55EBF" w:rsidRPr="00BB0C8E">
        <w:trPr>
          <w:trHeight w:val="270"/>
          <w:jc w:val="center"/>
        </w:trPr>
        <w:tc>
          <w:tcPr>
            <w:tcW w:w="6580" w:type="dxa"/>
            <w:gridSpan w:val="7"/>
            <w:tcBorders>
              <w:top w:val="nil"/>
              <w:left w:val="nil"/>
              <w:bottom w:val="single" w:sz="4" w:space="0" w:color="auto"/>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表3  部分羊场羊痘免疫抗体及病原学结果</w:t>
            </w:r>
          </w:p>
        </w:tc>
      </w:tr>
      <w:tr w:rsidR="00B55EBF" w:rsidRPr="00BB0C8E">
        <w:trPr>
          <w:trHeight w:val="270"/>
          <w:jc w:val="center"/>
        </w:trPr>
        <w:tc>
          <w:tcPr>
            <w:tcW w:w="657" w:type="dxa"/>
            <w:tcBorders>
              <w:top w:val="nil"/>
              <w:left w:val="nil"/>
              <w:bottom w:val="nil"/>
              <w:right w:val="nil"/>
            </w:tcBorders>
            <w:shd w:val="clear" w:color="auto" w:fill="auto"/>
            <w:noWrap/>
            <w:vAlign w:val="center"/>
          </w:tcPr>
          <w:p w:rsidR="00B55EBF" w:rsidRPr="00BB0C8E" w:rsidRDefault="00B55EBF">
            <w:pPr>
              <w:widowControl/>
              <w:jc w:val="center"/>
              <w:rPr>
                <w:rFonts w:ascii="宋体" w:eastAsia="宋体" w:hAnsi="宋体" w:cs="宋体"/>
                <w:kern w:val="0"/>
                <w:sz w:val="20"/>
                <w:szCs w:val="20"/>
              </w:rPr>
            </w:pPr>
          </w:p>
        </w:tc>
        <w:tc>
          <w:tcPr>
            <w:tcW w:w="3643" w:type="dxa"/>
            <w:gridSpan w:val="3"/>
            <w:tcBorders>
              <w:top w:val="single" w:sz="4" w:space="0" w:color="auto"/>
              <w:left w:val="nil"/>
              <w:bottom w:val="single" w:sz="4" w:space="0" w:color="auto"/>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血清学检测结果</w:t>
            </w:r>
          </w:p>
        </w:tc>
        <w:tc>
          <w:tcPr>
            <w:tcW w:w="55" w:type="dxa"/>
            <w:tcBorders>
              <w:top w:val="nil"/>
              <w:left w:val="nil"/>
              <w:bottom w:val="nil"/>
              <w:right w:val="nil"/>
            </w:tcBorders>
            <w:shd w:val="clear" w:color="auto" w:fill="auto"/>
            <w:noWrap/>
            <w:vAlign w:val="center"/>
          </w:tcPr>
          <w:p w:rsidR="00B55EBF" w:rsidRPr="00BB0C8E" w:rsidRDefault="00B55EBF">
            <w:pPr>
              <w:widowControl/>
              <w:jc w:val="left"/>
              <w:rPr>
                <w:rFonts w:ascii="宋体" w:eastAsia="宋体" w:hAnsi="宋体" w:cs="宋体"/>
                <w:kern w:val="0"/>
                <w:sz w:val="22"/>
              </w:rPr>
            </w:pPr>
          </w:p>
        </w:tc>
        <w:tc>
          <w:tcPr>
            <w:tcW w:w="2225" w:type="dxa"/>
            <w:gridSpan w:val="2"/>
            <w:tcBorders>
              <w:top w:val="single" w:sz="4" w:space="0" w:color="auto"/>
              <w:left w:val="nil"/>
              <w:bottom w:val="single" w:sz="4" w:space="0" w:color="auto"/>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病原学检测结果</w:t>
            </w:r>
          </w:p>
        </w:tc>
      </w:tr>
      <w:tr w:rsidR="00B55EBF" w:rsidRPr="00BB0C8E">
        <w:trPr>
          <w:trHeight w:val="270"/>
          <w:jc w:val="center"/>
        </w:trPr>
        <w:tc>
          <w:tcPr>
            <w:tcW w:w="657" w:type="dxa"/>
            <w:tcBorders>
              <w:top w:val="nil"/>
              <w:left w:val="nil"/>
              <w:bottom w:val="single" w:sz="4" w:space="0" w:color="auto"/>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场名</w:t>
            </w:r>
          </w:p>
        </w:tc>
        <w:tc>
          <w:tcPr>
            <w:tcW w:w="1265" w:type="dxa"/>
            <w:tcBorders>
              <w:top w:val="nil"/>
              <w:left w:val="nil"/>
              <w:bottom w:val="single" w:sz="4" w:space="0" w:color="auto"/>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样品数量</w:t>
            </w:r>
          </w:p>
        </w:tc>
        <w:tc>
          <w:tcPr>
            <w:tcW w:w="960" w:type="dxa"/>
            <w:tcBorders>
              <w:top w:val="nil"/>
              <w:left w:val="nil"/>
              <w:bottom w:val="single" w:sz="4" w:space="0" w:color="auto"/>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proofErr w:type="gramStart"/>
            <w:r w:rsidRPr="00BB0C8E">
              <w:rPr>
                <w:rFonts w:ascii="宋体" w:eastAsia="宋体" w:hAnsi="宋体" w:cs="宋体" w:hint="eastAsia"/>
                <w:kern w:val="0"/>
                <w:sz w:val="20"/>
                <w:szCs w:val="20"/>
              </w:rPr>
              <w:t>阳性数</w:t>
            </w:r>
            <w:proofErr w:type="gramEnd"/>
          </w:p>
        </w:tc>
        <w:tc>
          <w:tcPr>
            <w:tcW w:w="1418" w:type="dxa"/>
            <w:tcBorders>
              <w:top w:val="nil"/>
              <w:left w:val="nil"/>
              <w:bottom w:val="single" w:sz="4" w:space="0" w:color="auto"/>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合格率(%)</w:t>
            </w:r>
          </w:p>
        </w:tc>
        <w:tc>
          <w:tcPr>
            <w:tcW w:w="55" w:type="dxa"/>
            <w:tcBorders>
              <w:top w:val="nil"/>
              <w:left w:val="nil"/>
              <w:bottom w:val="nil"/>
              <w:right w:val="nil"/>
            </w:tcBorders>
            <w:shd w:val="clear" w:color="auto" w:fill="auto"/>
            <w:noWrap/>
            <w:vAlign w:val="center"/>
          </w:tcPr>
          <w:p w:rsidR="00B55EBF" w:rsidRPr="00BB0C8E" w:rsidRDefault="00B55EBF">
            <w:pPr>
              <w:widowControl/>
              <w:jc w:val="center"/>
              <w:rPr>
                <w:rFonts w:ascii="宋体" w:eastAsia="宋体" w:hAnsi="宋体" w:cs="宋体"/>
                <w:kern w:val="0"/>
                <w:sz w:val="20"/>
                <w:szCs w:val="20"/>
              </w:rPr>
            </w:pPr>
          </w:p>
        </w:tc>
        <w:tc>
          <w:tcPr>
            <w:tcW w:w="1265" w:type="dxa"/>
            <w:tcBorders>
              <w:top w:val="nil"/>
              <w:left w:val="nil"/>
              <w:bottom w:val="single" w:sz="4" w:space="0" w:color="auto"/>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样品数量</w:t>
            </w:r>
          </w:p>
        </w:tc>
        <w:tc>
          <w:tcPr>
            <w:tcW w:w="960" w:type="dxa"/>
            <w:tcBorders>
              <w:top w:val="nil"/>
              <w:left w:val="nil"/>
              <w:bottom w:val="single" w:sz="4" w:space="0" w:color="auto"/>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proofErr w:type="gramStart"/>
            <w:r w:rsidRPr="00BB0C8E">
              <w:rPr>
                <w:rFonts w:ascii="宋体" w:eastAsia="宋体" w:hAnsi="宋体" w:cs="宋体" w:hint="eastAsia"/>
                <w:kern w:val="0"/>
                <w:sz w:val="20"/>
                <w:szCs w:val="20"/>
              </w:rPr>
              <w:t>阳性数</w:t>
            </w:r>
            <w:proofErr w:type="gramEnd"/>
          </w:p>
        </w:tc>
      </w:tr>
      <w:tr w:rsidR="00B55EBF" w:rsidRPr="00BB0C8E">
        <w:trPr>
          <w:trHeight w:val="270"/>
          <w:jc w:val="center"/>
        </w:trPr>
        <w:tc>
          <w:tcPr>
            <w:tcW w:w="657"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A</w:t>
            </w:r>
          </w:p>
        </w:tc>
        <w:tc>
          <w:tcPr>
            <w:tcW w:w="1265"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98</w:t>
            </w:r>
          </w:p>
        </w:tc>
        <w:tc>
          <w:tcPr>
            <w:tcW w:w="960"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80</w:t>
            </w:r>
          </w:p>
        </w:tc>
        <w:tc>
          <w:tcPr>
            <w:tcW w:w="1418"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81.63%</w:t>
            </w:r>
          </w:p>
        </w:tc>
        <w:tc>
          <w:tcPr>
            <w:tcW w:w="55" w:type="dxa"/>
            <w:tcBorders>
              <w:top w:val="nil"/>
              <w:left w:val="nil"/>
              <w:bottom w:val="nil"/>
              <w:right w:val="nil"/>
            </w:tcBorders>
            <w:shd w:val="clear" w:color="auto" w:fill="auto"/>
            <w:noWrap/>
            <w:vAlign w:val="center"/>
          </w:tcPr>
          <w:p w:rsidR="00B55EBF" w:rsidRPr="00BB0C8E" w:rsidRDefault="00B55EBF">
            <w:pPr>
              <w:widowControl/>
              <w:jc w:val="center"/>
              <w:rPr>
                <w:rFonts w:ascii="宋体" w:eastAsia="宋体" w:hAnsi="宋体" w:cs="宋体"/>
                <w:kern w:val="0"/>
                <w:sz w:val="20"/>
                <w:szCs w:val="20"/>
              </w:rPr>
            </w:pPr>
          </w:p>
        </w:tc>
        <w:tc>
          <w:tcPr>
            <w:tcW w:w="1265"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98</w:t>
            </w:r>
          </w:p>
        </w:tc>
        <w:tc>
          <w:tcPr>
            <w:tcW w:w="960"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w:t>
            </w:r>
          </w:p>
        </w:tc>
      </w:tr>
      <w:tr w:rsidR="00B55EBF" w:rsidRPr="00BB0C8E">
        <w:trPr>
          <w:trHeight w:val="270"/>
          <w:jc w:val="center"/>
        </w:trPr>
        <w:tc>
          <w:tcPr>
            <w:tcW w:w="657"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B</w:t>
            </w:r>
          </w:p>
        </w:tc>
        <w:tc>
          <w:tcPr>
            <w:tcW w:w="1265"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85</w:t>
            </w:r>
          </w:p>
        </w:tc>
        <w:tc>
          <w:tcPr>
            <w:tcW w:w="960"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71</w:t>
            </w:r>
          </w:p>
        </w:tc>
        <w:tc>
          <w:tcPr>
            <w:tcW w:w="1418"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83.53%</w:t>
            </w:r>
          </w:p>
        </w:tc>
        <w:tc>
          <w:tcPr>
            <w:tcW w:w="55" w:type="dxa"/>
            <w:tcBorders>
              <w:top w:val="nil"/>
              <w:left w:val="nil"/>
              <w:bottom w:val="nil"/>
              <w:right w:val="nil"/>
            </w:tcBorders>
            <w:shd w:val="clear" w:color="auto" w:fill="auto"/>
            <w:noWrap/>
            <w:vAlign w:val="center"/>
          </w:tcPr>
          <w:p w:rsidR="00B55EBF" w:rsidRPr="00BB0C8E" w:rsidRDefault="00B55EBF">
            <w:pPr>
              <w:widowControl/>
              <w:jc w:val="center"/>
              <w:rPr>
                <w:rFonts w:ascii="宋体" w:eastAsia="宋体" w:hAnsi="宋体" w:cs="宋体"/>
                <w:kern w:val="0"/>
                <w:sz w:val="20"/>
                <w:szCs w:val="20"/>
              </w:rPr>
            </w:pPr>
          </w:p>
        </w:tc>
        <w:tc>
          <w:tcPr>
            <w:tcW w:w="1265"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85</w:t>
            </w:r>
          </w:p>
        </w:tc>
        <w:tc>
          <w:tcPr>
            <w:tcW w:w="960"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w:t>
            </w:r>
          </w:p>
        </w:tc>
      </w:tr>
      <w:tr w:rsidR="00B55EBF" w:rsidRPr="00BB0C8E">
        <w:trPr>
          <w:trHeight w:val="270"/>
          <w:jc w:val="center"/>
        </w:trPr>
        <w:tc>
          <w:tcPr>
            <w:tcW w:w="657"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C</w:t>
            </w:r>
          </w:p>
        </w:tc>
        <w:tc>
          <w:tcPr>
            <w:tcW w:w="1265"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115</w:t>
            </w:r>
          </w:p>
        </w:tc>
        <w:tc>
          <w:tcPr>
            <w:tcW w:w="960"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103</w:t>
            </w:r>
          </w:p>
        </w:tc>
        <w:tc>
          <w:tcPr>
            <w:tcW w:w="1418"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89.57%</w:t>
            </w:r>
          </w:p>
        </w:tc>
        <w:tc>
          <w:tcPr>
            <w:tcW w:w="55" w:type="dxa"/>
            <w:tcBorders>
              <w:top w:val="nil"/>
              <w:left w:val="nil"/>
              <w:bottom w:val="nil"/>
              <w:right w:val="nil"/>
            </w:tcBorders>
            <w:shd w:val="clear" w:color="auto" w:fill="auto"/>
            <w:noWrap/>
            <w:vAlign w:val="center"/>
          </w:tcPr>
          <w:p w:rsidR="00B55EBF" w:rsidRPr="00BB0C8E" w:rsidRDefault="00B55EBF">
            <w:pPr>
              <w:widowControl/>
              <w:jc w:val="center"/>
              <w:rPr>
                <w:rFonts w:ascii="宋体" w:eastAsia="宋体" w:hAnsi="宋体" w:cs="宋体"/>
                <w:kern w:val="0"/>
                <w:sz w:val="20"/>
                <w:szCs w:val="20"/>
              </w:rPr>
            </w:pPr>
          </w:p>
        </w:tc>
        <w:tc>
          <w:tcPr>
            <w:tcW w:w="1265"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115</w:t>
            </w:r>
          </w:p>
        </w:tc>
        <w:tc>
          <w:tcPr>
            <w:tcW w:w="960"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w:t>
            </w:r>
          </w:p>
        </w:tc>
      </w:tr>
      <w:tr w:rsidR="00B55EBF" w:rsidRPr="00BB0C8E">
        <w:trPr>
          <w:trHeight w:val="270"/>
          <w:jc w:val="center"/>
        </w:trPr>
        <w:tc>
          <w:tcPr>
            <w:tcW w:w="657"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D</w:t>
            </w:r>
          </w:p>
        </w:tc>
        <w:tc>
          <w:tcPr>
            <w:tcW w:w="1265"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66</w:t>
            </w:r>
          </w:p>
        </w:tc>
        <w:tc>
          <w:tcPr>
            <w:tcW w:w="960"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w:t>
            </w:r>
          </w:p>
        </w:tc>
        <w:tc>
          <w:tcPr>
            <w:tcW w:w="1418"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0.00%</w:t>
            </w:r>
          </w:p>
        </w:tc>
        <w:tc>
          <w:tcPr>
            <w:tcW w:w="55" w:type="dxa"/>
            <w:tcBorders>
              <w:top w:val="nil"/>
              <w:left w:val="nil"/>
              <w:bottom w:val="nil"/>
              <w:right w:val="nil"/>
            </w:tcBorders>
            <w:shd w:val="clear" w:color="auto" w:fill="auto"/>
            <w:noWrap/>
            <w:vAlign w:val="center"/>
          </w:tcPr>
          <w:p w:rsidR="00B55EBF" w:rsidRPr="00BB0C8E" w:rsidRDefault="00B55EBF">
            <w:pPr>
              <w:widowControl/>
              <w:jc w:val="center"/>
              <w:rPr>
                <w:rFonts w:ascii="宋体" w:eastAsia="宋体" w:hAnsi="宋体" w:cs="宋体"/>
                <w:kern w:val="0"/>
                <w:sz w:val="20"/>
                <w:szCs w:val="20"/>
              </w:rPr>
            </w:pPr>
          </w:p>
        </w:tc>
        <w:tc>
          <w:tcPr>
            <w:tcW w:w="1265"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66</w:t>
            </w:r>
          </w:p>
        </w:tc>
        <w:tc>
          <w:tcPr>
            <w:tcW w:w="960" w:type="dxa"/>
            <w:tcBorders>
              <w:top w:val="nil"/>
              <w:left w:val="nil"/>
              <w:bottom w:val="nil"/>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w:t>
            </w:r>
          </w:p>
        </w:tc>
      </w:tr>
      <w:tr w:rsidR="00B55EBF" w:rsidRPr="00BB0C8E">
        <w:trPr>
          <w:trHeight w:val="270"/>
          <w:jc w:val="center"/>
        </w:trPr>
        <w:tc>
          <w:tcPr>
            <w:tcW w:w="657" w:type="dxa"/>
            <w:tcBorders>
              <w:top w:val="nil"/>
              <w:left w:val="nil"/>
              <w:bottom w:val="single" w:sz="4" w:space="0" w:color="auto"/>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E</w:t>
            </w:r>
          </w:p>
        </w:tc>
        <w:tc>
          <w:tcPr>
            <w:tcW w:w="1265" w:type="dxa"/>
            <w:tcBorders>
              <w:top w:val="nil"/>
              <w:left w:val="nil"/>
              <w:bottom w:val="single" w:sz="4" w:space="0" w:color="auto"/>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79</w:t>
            </w:r>
          </w:p>
        </w:tc>
        <w:tc>
          <w:tcPr>
            <w:tcW w:w="960" w:type="dxa"/>
            <w:tcBorders>
              <w:top w:val="nil"/>
              <w:left w:val="nil"/>
              <w:bottom w:val="single" w:sz="4" w:space="0" w:color="auto"/>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w:t>
            </w:r>
          </w:p>
        </w:tc>
        <w:tc>
          <w:tcPr>
            <w:tcW w:w="1418" w:type="dxa"/>
            <w:tcBorders>
              <w:top w:val="nil"/>
              <w:left w:val="nil"/>
              <w:bottom w:val="single" w:sz="4" w:space="0" w:color="auto"/>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0.00%</w:t>
            </w:r>
          </w:p>
        </w:tc>
        <w:tc>
          <w:tcPr>
            <w:tcW w:w="55" w:type="dxa"/>
            <w:tcBorders>
              <w:top w:val="nil"/>
              <w:left w:val="nil"/>
              <w:bottom w:val="single" w:sz="4" w:space="0" w:color="auto"/>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 xml:space="preserve">　</w:t>
            </w:r>
          </w:p>
        </w:tc>
        <w:tc>
          <w:tcPr>
            <w:tcW w:w="1265" w:type="dxa"/>
            <w:tcBorders>
              <w:top w:val="nil"/>
              <w:left w:val="nil"/>
              <w:bottom w:val="single" w:sz="4" w:space="0" w:color="auto"/>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79</w:t>
            </w:r>
          </w:p>
        </w:tc>
        <w:tc>
          <w:tcPr>
            <w:tcW w:w="960" w:type="dxa"/>
            <w:tcBorders>
              <w:top w:val="nil"/>
              <w:left w:val="nil"/>
              <w:bottom w:val="single" w:sz="4" w:space="0" w:color="auto"/>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0</w:t>
            </w:r>
          </w:p>
        </w:tc>
      </w:tr>
    </w:tbl>
    <w:p w:rsidR="00B55EBF" w:rsidRPr="00BB0C8E" w:rsidRDefault="00EB4287">
      <w:pPr>
        <w:spacing w:line="360" w:lineRule="auto"/>
        <w:ind w:firstLineChars="400" w:firstLine="800"/>
        <w:rPr>
          <w:rFonts w:asciiTheme="minorEastAsia" w:hAnsiTheme="minorEastAsia"/>
          <w:sz w:val="20"/>
          <w:szCs w:val="20"/>
        </w:rPr>
      </w:pPr>
      <w:r w:rsidRPr="00BB0C8E">
        <w:rPr>
          <w:rFonts w:asciiTheme="minorEastAsia" w:hAnsiTheme="minorEastAsia" w:hint="eastAsia"/>
          <w:sz w:val="20"/>
          <w:szCs w:val="20"/>
        </w:rPr>
        <w:t>注：A、B、C场均开展了羊痘疫苗免疫，D、E场未进行羊痘疫苗免疫。</w:t>
      </w:r>
    </w:p>
    <w:p w:rsidR="00B55EBF" w:rsidRPr="00BB0C8E" w:rsidRDefault="00EB4287">
      <w:pPr>
        <w:spacing w:line="360" w:lineRule="auto"/>
        <w:ind w:firstLine="570"/>
        <w:rPr>
          <w:rFonts w:asciiTheme="minorEastAsia" w:hAnsiTheme="minorEastAsia"/>
          <w:sz w:val="28"/>
          <w:szCs w:val="28"/>
        </w:rPr>
      </w:pPr>
      <w:r w:rsidRPr="00BB0C8E">
        <w:rPr>
          <w:rFonts w:asciiTheme="minorEastAsia" w:hAnsiTheme="minorEastAsia" w:hint="eastAsia"/>
          <w:sz w:val="28"/>
          <w:szCs w:val="28"/>
        </w:rPr>
        <w:t>4、小反刍兽疫净化程序条款的确定</w:t>
      </w:r>
    </w:p>
    <w:p w:rsidR="00B55EBF" w:rsidRPr="00BB0C8E" w:rsidRDefault="00EB4287">
      <w:pPr>
        <w:spacing w:line="360" w:lineRule="auto"/>
        <w:rPr>
          <w:rFonts w:asciiTheme="minorEastAsia" w:hAnsiTheme="minorEastAsia"/>
          <w:sz w:val="28"/>
          <w:szCs w:val="28"/>
        </w:rPr>
      </w:pPr>
      <w:r w:rsidRPr="00BB0C8E">
        <w:rPr>
          <w:rFonts w:asciiTheme="minorEastAsia" w:hAnsiTheme="minorEastAsia" w:hint="eastAsia"/>
          <w:sz w:val="28"/>
          <w:szCs w:val="28"/>
        </w:rPr>
        <w:t xml:space="preserve">    2017年至2022年,本标准编写小组对区内部分种羊场(免疫小反刍兽疫疫苗)进行了小反刍兽疫免疫抗体监测,结果表明总体的抗体合格率均在85%以上（表4）。因此，将小反刍兽疫免疫控制的标准划定为“羊群小反刍兽疫免疫抗体合格率达到70%以上”，同时在净化效果评价中将免疫覆盖率划定为90%。</w:t>
      </w:r>
    </w:p>
    <w:tbl>
      <w:tblPr>
        <w:tblW w:w="6743" w:type="dxa"/>
        <w:jc w:val="center"/>
        <w:tblLook w:val="04A0"/>
      </w:tblPr>
      <w:tblGrid>
        <w:gridCol w:w="1185"/>
        <w:gridCol w:w="1446"/>
        <w:gridCol w:w="1098"/>
        <w:gridCol w:w="1597"/>
        <w:gridCol w:w="1417"/>
      </w:tblGrid>
      <w:tr w:rsidR="00B55EBF" w:rsidRPr="00BB0C8E">
        <w:trPr>
          <w:trHeight w:val="270"/>
          <w:jc w:val="center"/>
        </w:trPr>
        <w:tc>
          <w:tcPr>
            <w:tcW w:w="6743" w:type="dxa"/>
            <w:gridSpan w:val="5"/>
            <w:tcBorders>
              <w:top w:val="nil"/>
              <w:left w:val="nil"/>
              <w:bottom w:val="single" w:sz="4" w:space="0" w:color="auto"/>
              <w:right w:val="nil"/>
            </w:tcBorders>
            <w:shd w:val="clear" w:color="auto" w:fill="auto"/>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表4  2017-2022年广西壮族自治区部分</w:t>
            </w:r>
            <w:proofErr w:type="gramStart"/>
            <w:r w:rsidRPr="00BB0C8E">
              <w:rPr>
                <w:rFonts w:ascii="宋体" w:eastAsia="宋体" w:hAnsi="宋体" w:cs="宋体" w:hint="eastAsia"/>
                <w:kern w:val="0"/>
                <w:sz w:val="20"/>
                <w:szCs w:val="20"/>
              </w:rPr>
              <w:t>种羊场小反刍</w:t>
            </w:r>
            <w:proofErr w:type="gramEnd"/>
            <w:r w:rsidRPr="00BB0C8E">
              <w:rPr>
                <w:rFonts w:ascii="宋体" w:eastAsia="宋体" w:hAnsi="宋体" w:cs="宋体" w:hint="eastAsia"/>
                <w:kern w:val="0"/>
                <w:sz w:val="20"/>
                <w:szCs w:val="20"/>
              </w:rPr>
              <w:t>兽疫抗体监测结果</w:t>
            </w:r>
          </w:p>
        </w:tc>
      </w:tr>
      <w:tr w:rsidR="00B55EBF" w:rsidRPr="00BB0C8E">
        <w:trPr>
          <w:trHeight w:val="270"/>
          <w:jc w:val="center"/>
        </w:trPr>
        <w:tc>
          <w:tcPr>
            <w:tcW w:w="1185"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年份</w:t>
            </w:r>
          </w:p>
        </w:tc>
        <w:tc>
          <w:tcPr>
            <w:tcW w:w="1446"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场点数量</w:t>
            </w:r>
          </w:p>
        </w:tc>
        <w:tc>
          <w:tcPr>
            <w:tcW w:w="1098"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样品数</w:t>
            </w:r>
          </w:p>
        </w:tc>
        <w:tc>
          <w:tcPr>
            <w:tcW w:w="1597" w:type="dxa"/>
            <w:tcBorders>
              <w:top w:val="nil"/>
              <w:left w:val="nil"/>
              <w:bottom w:val="single" w:sz="4" w:space="0" w:color="auto"/>
              <w:right w:val="nil"/>
            </w:tcBorders>
            <w:shd w:val="clear" w:color="000000" w:fill="FFFFFF"/>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个体合格数</w:t>
            </w:r>
          </w:p>
        </w:tc>
        <w:tc>
          <w:tcPr>
            <w:tcW w:w="1417"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个体合格率</w:t>
            </w:r>
          </w:p>
        </w:tc>
      </w:tr>
      <w:tr w:rsidR="00B55EBF" w:rsidRPr="00BB0C8E">
        <w:trPr>
          <w:trHeight w:val="270"/>
          <w:jc w:val="center"/>
        </w:trPr>
        <w:tc>
          <w:tcPr>
            <w:tcW w:w="1185"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2017年</w:t>
            </w:r>
          </w:p>
        </w:tc>
        <w:tc>
          <w:tcPr>
            <w:tcW w:w="1446" w:type="dxa"/>
            <w:tcBorders>
              <w:top w:val="nil"/>
              <w:left w:val="nil"/>
              <w:bottom w:val="nil"/>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15</w:t>
            </w:r>
          </w:p>
        </w:tc>
        <w:tc>
          <w:tcPr>
            <w:tcW w:w="1098" w:type="dxa"/>
            <w:tcBorders>
              <w:top w:val="nil"/>
              <w:left w:val="nil"/>
              <w:bottom w:val="nil"/>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584</w:t>
            </w:r>
          </w:p>
        </w:tc>
        <w:tc>
          <w:tcPr>
            <w:tcW w:w="1597" w:type="dxa"/>
            <w:tcBorders>
              <w:top w:val="nil"/>
              <w:left w:val="nil"/>
              <w:bottom w:val="nil"/>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555</w:t>
            </w:r>
          </w:p>
        </w:tc>
        <w:tc>
          <w:tcPr>
            <w:tcW w:w="1417" w:type="dxa"/>
            <w:tcBorders>
              <w:top w:val="nil"/>
              <w:left w:val="nil"/>
              <w:bottom w:val="nil"/>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95.03</w:t>
            </w:r>
          </w:p>
        </w:tc>
      </w:tr>
      <w:tr w:rsidR="00B55EBF" w:rsidRPr="00BB0C8E">
        <w:trPr>
          <w:trHeight w:val="285"/>
          <w:jc w:val="center"/>
        </w:trPr>
        <w:tc>
          <w:tcPr>
            <w:tcW w:w="1185"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lastRenderedPageBreak/>
              <w:t>2018年</w:t>
            </w:r>
          </w:p>
        </w:tc>
        <w:tc>
          <w:tcPr>
            <w:tcW w:w="1446" w:type="dxa"/>
            <w:tcBorders>
              <w:top w:val="nil"/>
              <w:left w:val="nil"/>
              <w:bottom w:val="nil"/>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19</w:t>
            </w:r>
          </w:p>
        </w:tc>
        <w:tc>
          <w:tcPr>
            <w:tcW w:w="1098" w:type="dxa"/>
            <w:tcBorders>
              <w:top w:val="nil"/>
              <w:left w:val="nil"/>
              <w:bottom w:val="nil"/>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750</w:t>
            </w:r>
          </w:p>
        </w:tc>
        <w:tc>
          <w:tcPr>
            <w:tcW w:w="1597" w:type="dxa"/>
            <w:tcBorders>
              <w:top w:val="nil"/>
              <w:left w:val="nil"/>
              <w:bottom w:val="nil"/>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668</w:t>
            </w:r>
          </w:p>
        </w:tc>
        <w:tc>
          <w:tcPr>
            <w:tcW w:w="1417" w:type="dxa"/>
            <w:tcBorders>
              <w:top w:val="nil"/>
              <w:left w:val="nil"/>
              <w:bottom w:val="nil"/>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89.07</w:t>
            </w:r>
          </w:p>
        </w:tc>
      </w:tr>
      <w:tr w:rsidR="00B55EBF" w:rsidRPr="00BB0C8E">
        <w:trPr>
          <w:trHeight w:val="285"/>
          <w:jc w:val="center"/>
        </w:trPr>
        <w:tc>
          <w:tcPr>
            <w:tcW w:w="1185"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2019年</w:t>
            </w:r>
          </w:p>
        </w:tc>
        <w:tc>
          <w:tcPr>
            <w:tcW w:w="1446" w:type="dxa"/>
            <w:tcBorders>
              <w:top w:val="nil"/>
              <w:left w:val="nil"/>
              <w:bottom w:val="nil"/>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19</w:t>
            </w:r>
          </w:p>
        </w:tc>
        <w:tc>
          <w:tcPr>
            <w:tcW w:w="1098" w:type="dxa"/>
            <w:tcBorders>
              <w:top w:val="nil"/>
              <w:left w:val="nil"/>
              <w:bottom w:val="nil"/>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875</w:t>
            </w:r>
          </w:p>
        </w:tc>
        <w:tc>
          <w:tcPr>
            <w:tcW w:w="1597" w:type="dxa"/>
            <w:tcBorders>
              <w:top w:val="nil"/>
              <w:left w:val="nil"/>
              <w:bottom w:val="nil"/>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802</w:t>
            </w:r>
          </w:p>
        </w:tc>
        <w:tc>
          <w:tcPr>
            <w:tcW w:w="1417" w:type="dxa"/>
            <w:tcBorders>
              <w:top w:val="nil"/>
              <w:left w:val="nil"/>
              <w:bottom w:val="nil"/>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91.66</w:t>
            </w:r>
          </w:p>
        </w:tc>
      </w:tr>
      <w:tr w:rsidR="00B55EBF" w:rsidRPr="00BB0C8E">
        <w:trPr>
          <w:trHeight w:val="285"/>
          <w:jc w:val="center"/>
        </w:trPr>
        <w:tc>
          <w:tcPr>
            <w:tcW w:w="1185"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2020年</w:t>
            </w:r>
          </w:p>
        </w:tc>
        <w:tc>
          <w:tcPr>
            <w:tcW w:w="1446" w:type="dxa"/>
            <w:tcBorders>
              <w:top w:val="nil"/>
              <w:left w:val="nil"/>
              <w:bottom w:val="nil"/>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10</w:t>
            </w:r>
          </w:p>
        </w:tc>
        <w:tc>
          <w:tcPr>
            <w:tcW w:w="1098" w:type="dxa"/>
            <w:tcBorders>
              <w:top w:val="nil"/>
              <w:left w:val="nil"/>
              <w:bottom w:val="nil"/>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1019</w:t>
            </w:r>
          </w:p>
        </w:tc>
        <w:tc>
          <w:tcPr>
            <w:tcW w:w="1597" w:type="dxa"/>
            <w:tcBorders>
              <w:top w:val="nil"/>
              <w:left w:val="nil"/>
              <w:bottom w:val="nil"/>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994</w:t>
            </w:r>
          </w:p>
        </w:tc>
        <w:tc>
          <w:tcPr>
            <w:tcW w:w="1417" w:type="dxa"/>
            <w:tcBorders>
              <w:top w:val="nil"/>
              <w:left w:val="nil"/>
              <w:bottom w:val="nil"/>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97.55</w:t>
            </w:r>
          </w:p>
        </w:tc>
      </w:tr>
      <w:tr w:rsidR="00B55EBF" w:rsidRPr="00BB0C8E">
        <w:trPr>
          <w:trHeight w:val="285"/>
          <w:jc w:val="center"/>
        </w:trPr>
        <w:tc>
          <w:tcPr>
            <w:tcW w:w="1185" w:type="dxa"/>
            <w:tcBorders>
              <w:top w:val="nil"/>
              <w:left w:val="nil"/>
              <w:bottom w:val="nil"/>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2021年</w:t>
            </w:r>
          </w:p>
        </w:tc>
        <w:tc>
          <w:tcPr>
            <w:tcW w:w="1446" w:type="dxa"/>
            <w:tcBorders>
              <w:top w:val="nil"/>
              <w:left w:val="nil"/>
              <w:bottom w:val="nil"/>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12</w:t>
            </w:r>
          </w:p>
        </w:tc>
        <w:tc>
          <w:tcPr>
            <w:tcW w:w="1098" w:type="dxa"/>
            <w:tcBorders>
              <w:top w:val="nil"/>
              <w:left w:val="nil"/>
              <w:bottom w:val="nil"/>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988</w:t>
            </w:r>
          </w:p>
        </w:tc>
        <w:tc>
          <w:tcPr>
            <w:tcW w:w="1597" w:type="dxa"/>
            <w:tcBorders>
              <w:top w:val="nil"/>
              <w:left w:val="nil"/>
              <w:bottom w:val="nil"/>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889</w:t>
            </w:r>
          </w:p>
        </w:tc>
        <w:tc>
          <w:tcPr>
            <w:tcW w:w="1417" w:type="dxa"/>
            <w:tcBorders>
              <w:top w:val="nil"/>
              <w:left w:val="nil"/>
              <w:bottom w:val="nil"/>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89.98</w:t>
            </w:r>
          </w:p>
        </w:tc>
      </w:tr>
      <w:tr w:rsidR="00B55EBF" w:rsidRPr="00BB0C8E">
        <w:trPr>
          <w:trHeight w:val="285"/>
          <w:jc w:val="center"/>
        </w:trPr>
        <w:tc>
          <w:tcPr>
            <w:tcW w:w="1185"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宋体" w:eastAsia="宋体" w:hAnsi="宋体" w:cs="宋体"/>
                <w:kern w:val="0"/>
                <w:sz w:val="20"/>
                <w:szCs w:val="20"/>
              </w:rPr>
            </w:pPr>
            <w:r w:rsidRPr="00BB0C8E">
              <w:rPr>
                <w:rFonts w:ascii="宋体" w:eastAsia="宋体" w:hAnsi="宋体" w:cs="宋体" w:hint="eastAsia"/>
                <w:kern w:val="0"/>
                <w:sz w:val="20"/>
                <w:szCs w:val="20"/>
              </w:rPr>
              <w:t>2022年</w:t>
            </w:r>
          </w:p>
        </w:tc>
        <w:tc>
          <w:tcPr>
            <w:tcW w:w="1446"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9</w:t>
            </w:r>
          </w:p>
        </w:tc>
        <w:tc>
          <w:tcPr>
            <w:tcW w:w="1098"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655</w:t>
            </w:r>
          </w:p>
        </w:tc>
        <w:tc>
          <w:tcPr>
            <w:tcW w:w="1597"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557</w:t>
            </w:r>
          </w:p>
        </w:tc>
        <w:tc>
          <w:tcPr>
            <w:tcW w:w="1417" w:type="dxa"/>
            <w:tcBorders>
              <w:top w:val="nil"/>
              <w:left w:val="nil"/>
              <w:bottom w:val="single" w:sz="4" w:space="0" w:color="auto"/>
              <w:right w:val="nil"/>
            </w:tcBorders>
            <w:shd w:val="clear" w:color="000000" w:fill="FFFFFF"/>
            <w:noWrap/>
            <w:vAlign w:val="center"/>
          </w:tcPr>
          <w:p w:rsidR="00B55EBF" w:rsidRPr="00BB0C8E" w:rsidRDefault="00EB4287">
            <w:pPr>
              <w:widowControl/>
              <w:jc w:val="center"/>
              <w:rPr>
                <w:rFonts w:ascii="Times New Roman" w:eastAsia="宋体" w:hAnsi="Times New Roman" w:cs="Times New Roman"/>
                <w:kern w:val="0"/>
                <w:sz w:val="20"/>
                <w:szCs w:val="20"/>
              </w:rPr>
            </w:pPr>
            <w:r w:rsidRPr="00BB0C8E">
              <w:rPr>
                <w:rFonts w:ascii="Times New Roman" w:eastAsia="宋体" w:hAnsi="Times New Roman" w:cs="Times New Roman"/>
                <w:kern w:val="0"/>
                <w:sz w:val="20"/>
                <w:szCs w:val="20"/>
              </w:rPr>
              <w:t>85.04</w:t>
            </w:r>
          </w:p>
        </w:tc>
      </w:tr>
    </w:tbl>
    <w:p w:rsidR="00B55EBF" w:rsidRPr="00BB0C8E" w:rsidRDefault="00B55EBF">
      <w:pPr>
        <w:spacing w:line="360" w:lineRule="auto"/>
        <w:ind w:firstLineChars="200" w:firstLine="560"/>
        <w:rPr>
          <w:rFonts w:asciiTheme="minorEastAsia" w:hAnsiTheme="minorEastAsia"/>
          <w:sz w:val="28"/>
          <w:szCs w:val="28"/>
        </w:rPr>
      </w:pP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五、国内标准简要说明</w:t>
      </w:r>
    </w:p>
    <w:p w:rsidR="00B55EBF" w:rsidRDefault="00EB4287">
      <w:pPr>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只有3个与种羊</w:t>
      </w:r>
      <w:proofErr w:type="gramStart"/>
      <w:r>
        <w:rPr>
          <w:rFonts w:asciiTheme="minorEastAsia" w:hAnsiTheme="minorEastAsia" w:hint="eastAsia"/>
          <w:sz w:val="28"/>
          <w:szCs w:val="28"/>
        </w:rPr>
        <w:t>场重要</w:t>
      </w:r>
      <w:proofErr w:type="gramEnd"/>
      <w:r>
        <w:rPr>
          <w:rFonts w:asciiTheme="minorEastAsia" w:hAnsiTheme="minorEastAsia" w:hint="eastAsia"/>
          <w:sz w:val="28"/>
          <w:szCs w:val="28"/>
        </w:rPr>
        <w:t>疫病净化相关的标准，分别是《规模化种羊场动物疫病净化设施建设和管理指南》（DB4117/T 266-2019）、《羊养殖场小反刍兽疫净化技术规范》（DB21/T 3271-2020）和团体标准《种羊场布鲁氏菌病净化要求》（T/CVMA 50-2020）。</w:t>
      </w:r>
    </w:p>
    <w:p w:rsidR="00B55EBF" w:rsidRDefault="00EB4287">
      <w:pPr>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本项目拟制定的标准的先进性主要体现在以下方面：</w:t>
      </w:r>
    </w:p>
    <w:p w:rsidR="00B55EBF" w:rsidRDefault="00EB4287">
      <w:pPr>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（1）基于广西壮族自治区</w:t>
      </w:r>
      <w:proofErr w:type="gramStart"/>
      <w:r>
        <w:rPr>
          <w:rFonts w:asciiTheme="minorEastAsia" w:hAnsiTheme="minorEastAsia" w:hint="eastAsia"/>
          <w:sz w:val="28"/>
          <w:szCs w:val="28"/>
        </w:rPr>
        <w:t>内动物</w:t>
      </w:r>
      <w:proofErr w:type="gramEnd"/>
      <w:r>
        <w:rPr>
          <w:rFonts w:asciiTheme="minorEastAsia" w:hAnsiTheme="minorEastAsia" w:hint="eastAsia"/>
          <w:sz w:val="28"/>
          <w:szCs w:val="28"/>
        </w:rPr>
        <w:t>免疫实际情况：与部分北方省份不同，广西羊群目前仍未对布鲁氏菌</w:t>
      </w:r>
      <w:proofErr w:type="gramStart"/>
      <w:r>
        <w:rPr>
          <w:rFonts w:asciiTheme="minorEastAsia" w:hAnsiTheme="minorEastAsia" w:hint="eastAsia"/>
          <w:sz w:val="28"/>
          <w:szCs w:val="28"/>
        </w:rPr>
        <w:t>病开展</w:t>
      </w:r>
      <w:proofErr w:type="gramEnd"/>
      <w:r>
        <w:rPr>
          <w:rFonts w:asciiTheme="minorEastAsia" w:hAnsiTheme="minorEastAsia" w:hint="eastAsia"/>
          <w:sz w:val="28"/>
          <w:szCs w:val="28"/>
        </w:rPr>
        <w:t>免疫，而是采取监测净化的防控策略，因此其他省份的地方标准不能在我区直接套用。本标准基于广西羊群普遍</w:t>
      </w:r>
      <w:proofErr w:type="gramStart"/>
      <w:r>
        <w:rPr>
          <w:rFonts w:asciiTheme="minorEastAsia" w:hAnsiTheme="minorEastAsia" w:hint="eastAsia"/>
          <w:sz w:val="28"/>
          <w:szCs w:val="28"/>
        </w:rPr>
        <w:t>不</w:t>
      </w:r>
      <w:proofErr w:type="gramEnd"/>
      <w:r>
        <w:rPr>
          <w:rFonts w:asciiTheme="minorEastAsia" w:hAnsiTheme="minorEastAsia" w:hint="eastAsia"/>
          <w:sz w:val="28"/>
          <w:szCs w:val="28"/>
        </w:rPr>
        <w:t>免疫布鲁氏菌病的基础提出，切合本地实际。</w:t>
      </w:r>
    </w:p>
    <w:p w:rsidR="00B55EBF" w:rsidRDefault="00EB4287">
      <w:pPr>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（2）内容更丰富：《规模化种羊场动物疫病净化设施建设和管理指南》（DB4117/T 266-2019）针对的是养殖场开展动物疫病净化工作应达到的硬件设施要求，对于场内日常管理措施未提及。本标准响应2021年新颁布的动物防疫法精神，不仅对硬件设施条件做出规定，对管理措施提出了具体明确的划定，使之符合新的动物防疫法和其他规章制度的要求。</w:t>
      </w:r>
    </w:p>
    <w:p w:rsidR="00B55EBF" w:rsidRDefault="00EB4287">
      <w:pPr>
        <w:spacing w:line="360" w:lineRule="auto"/>
        <w:ind w:firstLineChars="200" w:firstLine="560"/>
        <w:jc w:val="left"/>
        <w:rPr>
          <w:rFonts w:asciiTheme="minorEastAsia" w:hAnsiTheme="minorEastAsia"/>
          <w:sz w:val="28"/>
          <w:szCs w:val="28"/>
        </w:rPr>
      </w:pPr>
      <w:r>
        <w:rPr>
          <w:rFonts w:asciiTheme="minorEastAsia" w:hAnsiTheme="minorEastAsia" w:hint="eastAsia"/>
          <w:sz w:val="28"/>
          <w:szCs w:val="28"/>
        </w:rPr>
        <w:t>（3）涵盖病种更多：《种羊场布鲁氏菌病净化要求》（T/CVMA 50-2020）仅针对布鲁氏菌病净化提出要求，《羊养殖场小反刍兽疫净化技术规范》（DB21/T 3271-2020）仅是针对小反刍兽疫净化，均是</w:t>
      </w:r>
      <w:r>
        <w:rPr>
          <w:rFonts w:asciiTheme="minorEastAsia" w:hAnsiTheme="minorEastAsia" w:hint="eastAsia"/>
          <w:sz w:val="28"/>
          <w:szCs w:val="28"/>
        </w:rPr>
        <w:lastRenderedPageBreak/>
        <w:t>只针对单个病种。目前国内羊场的疫病净化也大都集中在布鲁氏菌病上。鉴于当前复杂的动物调运和动物疫情状况，为从根本上提升广西区内种用羊的群体健康水平，本标准针对口蹄疫、布鲁氏菌病、羊痘、小反刍兽疫等4个重点病种提出净化技术规范，覆盖面广，从布局与设置、管理措施、疫病净化程序和净化效果维持等疫病综合防控内容，技术条款细化，可操作性强。</w:t>
      </w:r>
    </w:p>
    <w:p w:rsidR="00B55EBF" w:rsidRDefault="00EB4287">
      <w:pPr>
        <w:adjustRightInd w:val="0"/>
        <w:snapToGrid w:val="0"/>
        <w:spacing w:line="560" w:lineRule="exact"/>
        <w:ind w:firstLineChars="200" w:firstLine="640"/>
        <w:rPr>
          <w:rFonts w:asciiTheme="minorEastAsia" w:hAnsiTheme="minorEastAsia"/>
          <w:sz w:val="28"/>
          <w:szCs w:val="28"/>
        </w:rPr>
      </w:pPr>
      <w:r>
        <w:rPr>
          <w:rFonts w:ascii="黑体" w:eastAsia="黑体" w:hAnsi="黑体" w:hint="eastAsia"/>
          <w:sz w:val="32"/>
          <w:szCs w:val="32"/>
        </w:rPr>
        <w:t>六、采用国际标准的程度及水平</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本标准为自主制定，没有采用国际标准。</w:t>
      </w:r>
    </w:p>
    <w:p w:rsidR="00B55EBF" w:rsidRDefault="00EB4287">
      <w:pPr>
        <w:adjustRightInd w:val="0"/>
        <w:snapToGrid w:val="0"/>
        <w:spacing w:line="560" w:lineRule="exact"/>
        <w:ind w:firstLineChars="200" w:firstLine="640"/>
        <w:rPr>
          <w:rFonts w:asciiTheme="minorEastAsia" w:hAnsiTheme="minorEastAsia"/>
          <w:sz w:val="28"/>
          <w:szCs w:val="28"/>
        </w:rPr>
      </w:pPr>
      <w:r>
        <w:rPr>
          <w:rFonts w:ascii="黑体" w:eastAsia="黑体" w:hAnsi="黑体" w:hint="eastAsia"/>
          <w:sz w:val="32"/>
          <w:szCs w:val="32"/>
        </w:rPr>
        <w:t>七、重大分歧意见的处理经过和依据</w:t>
      </w:r>
    </w:p>
    <w:p w:rsidR="00B55EBF" w:rsidRDefault="00EB4287">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目前无重大分歧意见。</w:t>
      </w:r>
    </w:p>
    <w:p w:rsidR="00B55EBF" w:rsidRDefault="00EB4287">
      <w:pPr>
        <w:adjustRightInd w:val="0"/>
        <w:snapToGrid w:val="0"/>
        <w:spacing w:line="560" w:lineRule="exact"/>
        <w:ind w:firstLineChars="200" w:firstLine="640"/>
        <w:rPr>
          <w:rFonts w:asciiTheme="minorEastAsia" w:hAnsiTheme="minorEastAsia"/>
          <w:color w:val="000000" w:themeColor="text1"/>
          <w:sz w:val="28"/>
          <w:szCs w:val="28"/>
        </w:rPr>
      </w:pPr>
      <w:r>
        <w:rPr>
          <w:rFonts w:ascii="黑体" w:eastAsia="黑体" w:hAnsi="黑体" w:hint="eastAsia"/>
          <w:color w:val="000000" w:themeColor="text1"/>
          <w:sz w:val="32"/>
          <w:szCs w:val="32"/>
        </w:rPr>
        <w:t>八、自我承诺</w:t>
      </w:r>
    </w:p>
    <w:p w:rsidR="00B55EBF" w:rsidRDefault="00EB4287">
      <w:pPr>
        <w:spacing w:line="360" w:lineRule="auto"/>
        <w:ind w:firstLineChars="200" w:firstLine="560"/>
        <w:rPr>
          <w:rFonts w:asciiTheme="minorEastAsia" w:hAnsiTheme="minorEastAsia"/>
          <w:color w:val="000000" w:themeColor="text1"/>
          <w:sz w:val="28"/>
          <w:szCs w:val="28"/>
        </w:rPr>
      </w:pPr>
      <w:r>
        <w:rPr>
          <w:rFonts w:asciiTheme="minorEastAsia" w:hAnsiTheme="minorEastAsia" w:hint="eastAsia"/>
          <w:color w:val="000000" w:themeColor="text1"/>
          <w:sz w:val="28"/>
          <w:szCs w:val="28"/>
        </w:rPr>
        <w:t>本团体标准规定的内容符合国家有关法律法规，各项指标不低于强制性标准要求，没有侵犯他人合法权益。</w:t>
      </w:r>
    </w:p>
    <w:p w:rsidR="00B55EBF" w:rsidRDefault="00B55EBF">
      <w:pPr>
        <w:spacing w:line="360" w:lineRule="auto"/>
        <w:ind w:firstLineChars="200" w:firstLine="560"/>
        <w:rPr>
          <w:rFonts w:asciiTheme="minorEastAsia" w:hAnsiTheme="minorEastAsia"/>
          <w:sz w:val="28"/>
          <w:szCs w:val="28"/>
        </w:rPr>
      </w:pPr>
    </w:p>
    <w:p w:rsidR="00B55EBF" w:rsidRDefault="00EB4287">
      <w:pPr>
        <w:spacing w:line="360" w:lineRule="auto"/>
        <w:ind w:firstLineChars="200" w:firstLine="560"/>
        <w:jc w:val="right"/>
        <w:rPr>
          <w:rFonts w:asciiTheme="minorEastAsia" w:hAnsiTheme="minorEastAsia"/>
          <w:sz w:val="28"/>
          <w:szCs w:val="28"/>
        </w:rPr>
      </w:pPr>
      <w:r>
        <w:rPr>
          <w:rFonts w:asciiTheme="minorEastAsia" w:hAnsiTheme="minorEastAsia" w:hint="eastAsia"/>
          <w:sz w:val="28"/>
          <w:szCs w:val="28"/>
        </w:rPr>
        <w:t>团体标准《种羊场重点疫病净化技术规范》编制工作小组</w:t>
      </w:r>
    </w:p>
    <w:p w:rsidR="00B55EBF" w:rsidRDefault="00EB4287">
      <w:pPr>
        <w:spacing w:line="360" w:lineRule="auto"/>
        <w:ind w:firstLineChars="200" w:firstLine="560"/>
        <w:jc w:val="center"/>
        <w:rPr>
          <w:rFonts w:asciiTheme="minorEastAsia" w:hAnsiTheme="minorEastAsia"/>
          <w:sz w:val="28"/>
          <w:szCs w:val="28"/>
        </w:rPr>
      </w:pPr>
      <w:r>
        <w:rPr>
          <w:rFonts w:asciiTheme="minorEastAsia" w:hAnsiTheme="minorEastAsia" w:hint="eastAsia"/>
          <w:sz w:val="28"/>
          <w:szCs w:val="28"/>
        </w:rPr>
        <w:t xml:space="preserve">                                    2023年4月</w:t>
      </w:r>
      <w:r w:rsidR="00846D90">
        <w:rPr>
          <w:rFonts w:asciiTheme="minorEastAsia" w:hAnsiTheme="minorEastAsia" w:hint="eastAsia"/>
          <w:sz w:val="28"/>
          <w:szCs w:val="28"/>
        </w:rPr>
        <w:t>13</w:t>
      </w:r>
      <w:r>
        <w:rPr>
          <w:rFonts w:asciiTheme="minorEastAsia" w:hAnsiTheme="minorEastAsia" w:hint="eastAsia"/>
          <w:sz w:val="28"/>
          <w:szCs w:val="28"/>
        </w:rPr>
        <w:t>日</w:t>
      </w:r>
    </w:p>
    <w:p w:rsidR="00B55EBF" w:rsidRDefault="00B55EBF">
      <w:pPr>
        <w:spacing w:line="360" w:lineRule="auto"/>
        <w:ind w:firstLineChars="200" w:firstLine="560"/>
        <w:rPr>
          <w:rFonts w:asciiTheme="minorEastAsia" w:hAnsiTheme="minorEastAsia"/>
          <w:sz w:val="28"/>
          <w:szCs w:val="28"/>
        </w:rPr>
      </w:pPr>
    </w:p>
    <w:sectPr w:rsidR="00B55EBF" w:rsidSect="00B55E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C01" w:rsidRDefault="00777C01" w:rsidP="002F5F7B">
      <w:r>
        <w:separator/>
      </w:r>
    </w:p>
  </w:endnote>
  <w:endnote w:type="continuationSeparator" w:id="0">
    <w:p w:rsidR="00777C01" w:rsidRDefault="00777C01" w:rsidP="002F5F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C01" w:rsidRDefault="00777C01" w:rsidP="002F5F7B">
      <w:r>
        <w:separator/>
      </w:r>
    </w:p>
  </w:footnote>
  <w:footnote w:type="continuationSeparator" w:id="0">
    <w:p w:rsidR="00777C01" w:rsidRDefault="00777C01" w:rsidP="002F5F7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2NmYTZhMDJjNGUxNjljMzliNDY3ZWY5NThjOGI4ZTkifQ=="/>
  </w:docVars>
  <w:rsids>
    <w:rsidRoot w:val="0093246D"/>
    <w:rsid w:val="00007872"/>
    <w:rsid w:val="0001676F"/>
    <w:rsid w:val="00024FC8"/>
    <w:rsid w:val="00031E3D"/>
    <w:rsid w:val="00036FA5"/>
    <w:rsid w:val="00086173"/>
    <w:rsid w:val="000A01A6"/>
    <w:rsid w:val="000A6387"/>
    <w:rsid w:val="000B02F6"/>
    <w:rsid w:val="000C034D"/>
    <w:rsid w:val="000C5CAB"/>
    <w:rsid w:val="000E4CA0"/>
    <w:rsid w:val="0010476F"/>
    <w:rsid w:val="00113FE6"/>
    <w:rsid w:val="00132B32"/>
    <w:rsid w:val="001470A8"/>
    <w:rsid w:val="00151721"/>
    <w:rsid w:val="001528C3"/>
    <w:rsid w:val="0018702F"/>
    <w:rsid w:val="00194DD1"/>
    <w:rsid w:val="001A5245"/>
    <w:rsid w:val="001C7507"/>
    <w:rsid w:val="001C7F24"/>
    <w:rsid w:val="001D1101"/>
    <w:rsid w:val="001D4E8A"/>
    <w:rsid w:val="001D73F4"/>
    <w:rsid w:val="001E5625"/>
    <w:rsid w:val="0021762F"/>
    <w:rsid w:val="00221841"/>
    <w:rsid w:val="00230988"/>
    <w:rsid w:val="002500D9"/>
    <w:rsid w:val="00264F66"/>
    <w:rsid w:val="00267495"/>
    <w:rsid w:val="0029561B"/>
    <w:rsid w:val="002B1A62"/>
    <w:rsid w:val="002D23C2"/>
    <w:rsid w:val="002D77B4"/>
    <w:rsid w:val="002F5F7B"/>
    <w:rsid w:val="003130D5"/>
    <w:rsid w:val="003175FB"/>
    <w:rsid w:val="003335AB"/>
    <w:rsid w:val="00357872"/>
    <w:rsid w:val="0037144F"/>
    <w:rsid w:val="00373867"/>
    <w:rsid w:val="00395967"/>
    <w:rsid w:val="003A54A9"/>
    <w:rsid w:val="003B5075"/>
    <w:rsid w:val="003C6EEA"/>
    <w:rsid w:val="003D51D6"/>
    <w:rsid w:val="003E2BBA"/>
    <w:rsid w:val="003F1025"/>
    <w:rsid w:val="004251EF"/>
    <w:rsid w:val="00494FE6"/>
    <w:rsid w:val="004951A1"/>
    <w:rsid w:val="004B6A63"/>
    <w:rsid w:val="004D5014"/>
    <w:rsid w:val="004E68D2"/>
    <w:rsid w:val="004F3BCA"/>
    <w:rsid w:val="00546745"/>
    <w:rsid w:val="00566BA2"/>
    <w:rsid w:val="00576D79"/>
    <w:rsid w:val="005A50B3"/>
    <w:rsid w:val="005E166F"/>
    <w:rsid w:val="005E5EB9"/>
    <w:rsid w:val="006003AA"/>
    <w:rsid w:val="00604B2E"/>
    <w:rsid w:val="0061041A"/>
    <w:rsid w:val="0061173D"/>
    <w:rsid w:val="00611C01"/>
    <w:rsid w:val="00612A0E"/>
    <w:rsid w:val="00616454"/>
    <w:rsid w:val="006342BE"/>
    <w:rsid w:val="0064411C"/>
    <w:rsid w:val="00654815"/>
    <w:rsid w:val="006633B1"/>
    <w:rsid w:val="00686A6C"/>
    <w:rsid w:val="00686B37"/>
    <w:rsid w:val="00700036"/>
    <w:rsid w:val="00717319"/>
    <w:rsid w:val="00742649"/>
    <w:rsid w:val="00773DB6"/>
    <w:rsid w:val="00774820"/>
    <w:rsid w:val="00777C01"/>
    <w:rsid w:val="007C2651"/>
    <w:rsid w:val="007D378D"/>
    <w:rsid w:val="007D7879"/>
    <w:rsid w:val="007F557D"/>
    <w:rsid w:val="0082569A"/>
    <w:rsid w:val="00846D90"/>
    <w:rsid w:val="00850E99"/>
    <w:rsid w:val="00856A0D"/>
    <w:rsid w:val="00857AF2"/>
    <w:rsid w:val="00861A7B"/>
    <w:rsid w:val="008664E2"/>
    <w:rsid w:val="008A25A3"/>
    <w:rsid w:val="008B2306"/>
    <w:rsid w:val="008B485F"/>
    <w:rsid w:val="008C4E9C"/>
    <w:rsid w:val="0093246D"/>
    <w:rsid w:val="00966927"/>
    <w:rsid w:val="009716FE"/>
    <w:rsid w:val="00980F39"/>
    <w:rsid w:val="00984874"/>
    <w:rsid w:val="009C2FEE"/>
    <w:rsid w:val="009C7339"/>
    <w:rsid w:val="00A06932"/>
    <w:rsid w:val="00A070F4"/>
    <w:rsid w:val="00A33CEB"/>
    <w:rsid w:val="00A44723"/>
    <w:rsid w:val="00A44B6F"/>
    <w:rsid w:val="00A4530F"/>
    <w:rsid w:val="00A542A4"/>
    <w:rsid w:val="00A7275A"/>
    <w:rsid w:val="00A822E4"/>
    <w:rsid w:val="00B0453A"/>
    <w:rsid w:val="00B1643A"/>
    <w:rsid w:val="00B33B48"/>
    <w:rsid w:val="00B365C3"/>
    <w:rsid w:val="00B55EBF"/>
    <w:rsid w:val="00B81E14"/>
    <w:rsid w:val="00B959B6"/>
    <w:rsid w:val="00BB0C8E"/>
    <w:rsid w:val="00BD66C4"/>
    <w:rsid w:val="00BF1539"/>
    <w:rsid w:val="00C175C4"/>
    <w:rsid w:val="00C17ED2"/>
    <w:rsid w:val="00C20836"/>
    <w:rsid w:val="00C3500C"/>
    <w:rsid w:val="00C75BC1"/>
    <w:rsid w:val="00C82943"/>
    <w:rsid w:val="00CA5016"/>
    <w:rsid w:val="00CD6BF0"/>
    <w:rsid w:val="00CE376D"/>
    <w:rsid w:val="00CE5A8C"/>
    <w:rsid w:val="00CF4C11"/>
    <w:rsid w:val="00D06094"/>
    <w:rsid w:val="00D11728"/>
    <w:rsid w:val="00D276CA"/>
    <w:rsid w:val="00D372E4"/>
    <w:rsid w:val="00D91BD3"/>
    <w:rsid w:val="00DD66D3"/>
    <w:rsid w:val="00E007C9"/>
    <w:rsid w:val="00E260CD"/>
    <w:rsid w:val="00E27102"/>
    <w:rsid w:val="00E41758"/>
    <w:rsid w:val="00E55A51"/>
    <w:rsid w:val="00E63836"/>
    <w:rsid w:val="00EA30C3"/>
    <w:rsid w:val="00EB4287"/>
    <w:rsid w:val="00EB6C22"/>
    <w:rsid w:val="00ED1BE1"/>
    <w:rsid w:val="00F2346F"/>
    <w:rsid w:val="00F813C1"/>
    <w:rsid w:val="00F83D5F"/>
    <w:rsid w:val="00F84288"/>
    <w:rsid w:val="00FA3548"/>
    <w:rsid w:val="00FC2E8E"/>
    <w:rsid w:val="00FC43B4"/>
    <w:rsid w:val="00FD6D47"/>
    <w:rsid w:val="00FE18C1"/>
    <w:rsid w:val="00FE5DB9"/>
    <w:rsid w:val="00FF47B1"/>
    <w:rsid w:val="00FF4DFE"/>
    <w:rsid w:val="0AE261CF"/>
    <w:rsid w:val="1D8129FE"/>
    <w:rsid w:val="276E4F31"/>
    <w:rsid w:val="32E97D98"/>
    <w:rsid w:val="538562E1"/>
    <w:rsid w:val="54122EA7"/>
    <w:rsid w:val="59FB3DE5"/>
    <w:rsid w:val="60220F84"/>
    <w:rsid w:val="61607C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EB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B55EB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B55EBF"/>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B55EBF"/>
    <w:pPr>
      <w:spacing w:beforeAutospacing="1" w:afterAutospacing="1"/>
      <w:jc w:val="left"/>
    </w:pPr>
    <w:rPr>
      <w:rFonts w:cs="Times New Roman"/>
      <w:kern w:val="0"/>
      <w:sz w:val="24"/>
    </w:rPr>
  </w:style>
  <w:style w:type="character" w:customStyle="1" w:styleId="Char0">
    <w:name w:val="页眉 Char"/>
    <w:basedOn w:val="a0"/>
    <w:link w:val="a4"/>
    <w:uiPriority w:val="99"/>
    <w:qFormat/>
    <w:rsid w:val="00B55EBF"/>
    <w:rPr>
      <w:sz w:val="18"/>
      <w:szCs w:val="18"/>
    </w:rPr>
  </w:style>
  <w:style w:type="character" w:customStyle="1" w:styleId="Char">
    <w:name w:val="页脚 Char"/>
    <w:basedOn w:val="a0"/>
    <w:link w:val="a3"/>
    <w:uiPriority w:val="99"/>
    <w:semiHidden/>
    <w:qFormat/>
    <w:rsid w:val="00B55EBF"/>
    <w:rPr>
      <w:sz w:val="18"/>
      <w:szCs w:val="18"/>
    </w:rPr>
  </w:style>
  <w:style w:type="character" w:customStyle="1" w:styleId="apple-style-span">
    <w:name w:val="apple-style-span"/>
    <w:basedOn w:val="a0"/>
    <w:qFormat/>
    <w:rsid w:val="00B55EBF"/>
    <w:rPr>
      <w:rFonts w:cs="Times New Roman"/>
    </w:rPr>
  </w:style>
  <w:style w:type="paragraph" w:customStyle="1" w:styleId="a6">
    <w:name w:val="段"/>
    <w:link w:val="Char1"/>
    <w:qFormat/>
    <w:rsid w:val="00B55EBF"/>
    <w:pPr>
      <w:tabs>
        <w:tab w:val="center" w:pos="4201"/>
        <w:tab w:val="right" w:leader="dot" w:pos="9298"/>
      </w:tabs>
      <w:autoSpaceDE w:val="0"/>
      <w:autoSpaceDN w:val="0"/>
      <w:ind w:firstLineChars="200" w:firstLine="420"/>
      <w:jc w:val="both"/>
    </w:pPr>
    <w:rPr>
      <w:rFonts w:ascii="宋体" w:eastAsia="宋体" w:hAnsi="Times New Roman" w:cs="Times New Roman"/>
      <w:sz w:val="22"/>
      <w:szCs w:val="22"/>
    </w:rPr>
  </w:style>
  <w:style w:type="character" w:customStyle="1" w:styleId="Char1">
    <w:name w:val="段 Char"/>
    <w:link w:val="a6"/>
    <w:uiPriority w:val="99"/>
    <w:qFormat/>
    <w:locked/>
    <w:rsid w:val="00B55EBF"/>
    <w:rPr>
      <w:rFonts w:ascii="宋体" w:eastAsia="宋体" w:hAnsi="Times New Roman" w:cs="Times New Roman"/>
      <w:kern w:val="0"/>
      <w:sz w:val="22"/>
    </w:rPr>
  </w:style>
  <w:style w:type="paragraph" w:customStyle="1" w:styleId="a7">
    <w:name w:val="标准文件_段"/>
    <w:link w:val="Char2"/>
    <w:qFormat/>
    <w:rsid w:val="00B55EBF"/>
    <w:pPr>
      <w:autoSpaceDE w:val="0"/>
      <w:autoSpaceDN w:val="0"/>
      <w:ind w:firstLineChars="200" w:firstLine="200"/>
      <w:jc w:val="both"/>
    </w:pPr>
    <w:rPr>
      <w:rFonts w:ascii="宋体" w:eastAsia="宋体" w:hAnsi="Times New Roman" w:cs="Times New Roman"/>
      <w:sz w:val="21"/>
    </w:rPr>
  </w:style>
  <w:style w:type="character" w:customStyle="1" w:styleId="Char2">
    <w:name w:val="标准文件_段 Char"/>
    <w:link w:val="a7"/>
    <w:qFormat/>
    <w:rsid w:val="00B55EBF"/>
    <w:rPr>
      <w:rFonts w:ascii="宋体" w:eastAsia="宋体" w:hAnsi="Times New Roman" w:cs="Times New Roman"/>
      <w:kern w:val="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gkg.kjt.gxzf.gov.cn/egrantweb/proposal/view-prp?posCodeStr=ut7c3XhcE6igRxeiB9Ok1Jzw8Q5y0YPsn1/gIsXGOmc=&amp;grantCodeStr=MXokMZCwStpQT9YOeDDzxChNw3peHGJ8&amp;subGrantCodeStr=TreCeGW6XI5b01EX94PJc33LO1QU9w6E&amp;" TargetMode="External"/><Relationship Id="rId3" Type="http://schemas.openxmlformats.org/officeDocument/2006/relationships/webSettings" Target="webSettings.xml"/><Relationship Id="rId7" Type="http://schemas.openxmlformats.org/officeDocument/2006/relationships/hyperlink" Target="http://gkg.kjt.gxzf.gov.cn/egrantweb/proposal/view-prp?posCodeStr=ut7c3XhcE6igRxeiB9Ok1Jzw8Q5y0YPsn1/gIsXGOmc=&amp;grantCodeStr=MXokMZCwStpQT9YOeDDzxChNw3peHGJ8&amp;subGrantCodeStr=TreCeGW6XI5b01EX94PJc33LO1QU9w6E&am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kg.kjt.gxzf.gov.cn/egrantweb/proposal/view-prp?posCodeStr=ut7c3XhcE6igRxeiB9Ok1Jzw8Q5y0YPsn1/gIsXGOmc=&amp;grantCodeStr=MXokMZCwStpQT9YOeDDzxChNw3peHGJ8&amp;subGrantCodeStr=TreCeGW6XI5b01EX94PJc33LO1QU9w6E&amp;"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1158</Words>
  <Characters>6607</Characters>
  <Application>Microsoft Office Word</Application>
  <DocSecurity>0</DocSecurity>
  <Lines>55</Lines>
  <Paragraphs>15</Paragraphs>
  <ScaleCrop>false</ScaleCrop>
  <Company>Hewlett-Packard Company</Company>
  <LinksUpToDate>false</LinksUpToDate>
  <CharactersWithSpaces>7750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闭璟珊</dc:creator>
  <cp:lastModifiedBy>闭璟珊</cp:lastModifiedBy>
  <cp:revision>3</cp:revision>
  <dcterms:created xsi:type="dcterms:W3CDTF">2023-04-18T03:34:00Z</dcterms:created>
  <dcterms:modified xsi:type="dcterms:W3CDTF">2023-04-18T08:20:00Z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73BDB25F587649F2847C3EA96C134EDC</vt:lpwstr>
  </property>
</Properties>
</file>